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保定市徐水区委老干部局</w:t>
      </w:r>
    </w:p>
    <w:p>
      <w:pPr>
        <w:spacing w:line="360" w:lineRule="auto"/>
        <w:jc w:val="center"/>
        <w:rPr>
          <w:rFonts w:ascii="宋体" w:hAnsi="宋体" w:eastAsia="宋体"/>
          <w:b/>
          <w:sz w:val="44"/>
          <w:szCs w:val="44"/>
        </w:rPr>
      </w:pPr>
      <w:r>
        <w:rPr>
          <w:rFonts w:ascii="宋体" w:hAnsi="宋体" w:eastAsia="宋体"/>
          <w:b/>
          <w:sz w:val="44"/>
          <w:szCs w:val="44"/>
        </w:rPr>
        <w:t>2019年部门预算公开说明</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w:t>
      </w:r>
      <w:bookmarkStart w:id="1" w:name="_GoBack"/>
      <w:bookmarkEnd w:id="1"/>
      <w:r>
        <w:rPr>
          <w:rFonts w:hint="eastAsia" w:ascii="仿宋" w:hAnsi="仿宋" w:eastAsia="仿宋"/>
          <w:sz w:val="32"/>
          <w:szCs w:val="32"/>
        </w:rPr>
        <w:t>预算法》、《地方预决算公开操作规程》等文件规定，现将我部门预算信息公开如下：</w:t>
      </w: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第一部分</w:t>
      </w:r>
      <w:r>
        <w:rPr>
          <w:rFonts w:ascii="黑体" w:hAnsi="黑体" w:eastAsia="黑体" w:cs="Times New Roman"/>
          <w:sz w:val="32"/>
          <w:szCs w:val="32"/>
        </w:rPr>
        <w:t>:部门职责及机构设置情况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ind w:firstLine="803" w:firstLineChars="250"/>
        <w:rPr>
          <w:rFonts w:ascii="仿宋" w:hAnsi="仿宋" w:eastAsia="仿宋"/>
          <w:b/>
          <w:sz w:val="32"/>
          <w:szCs w:val="32"/>
        </w:rPr>
      </w:pPr>
      <w:r>
        <w:rPr>
          <w:rFonts w:hint="eastAsia" w:ascii="仿宋" w:hAnsi="仿宋" w:eastAsia="仿宋"/>
          <w:b/>
          <w:sz w:val="32"/>
          <w:szCs w:val="32"/>
        </w:rPr>
        <w:t>一、部门职责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ind w:firstLine="800" w:firstLineChars="250"/>
        <w:rPr>
          <w:rFonts w:ascii="仿宋" w:eastAsia="仿宋"/>
          <w:kern w:val="0"/>
          <w:sz w:val="32"/>
          <w:szCs w:val="28"/>
        </w:rPr>
      </w:pPr>
      <w:r>
        <w:rPr>
          <w:rFonts w:ascii="仿宋" w:eastAsia="仿宋" w:cs="仿宋_GB2312"/>
          <w:kern w:val="0"/>
          <w:sz w:val="32"/>
          <w:szCs w:val="28"/>
        </w:rPr>
        <w:t>1</w:t>
      </w:r>
      <w:r>
        <w:rPr>
          <w:rFonts w:hint="eastAsia" w:ascii="仿宋" w:hAnsi="仿宋_GB2312" w:eastAsia="仿宋" w:cs="仿宋_GB2312"/>
          <w:kern w:val="0"/>
          <w:sz w:val="32"/>
          <w:szCs w:val="28"/>
        </w:rPr>
        <w:t>、负责贯彻落实党中央、国务院、省委、省政府、市委、市政府和区委、区政府关于老干部工作的方针政策，拟订或参与拟订全区老干部工作有关的具体规定和办法。或参与拟订全区老干部工作有关的具体规定和办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ind w:firstLine="640" w:firstLineChars="200"/>
        <w:rPr>
          <w:rFonts w:ascii="仿宋" w:eastAsia="仿宋"/>
          <w:kern w:val="0"/>
          <w:sz w:val="32"/>
          <w:szCs w:val="28"/>
        </w:rPr>
      </w:pPr>
      <w:r>
        <w:rPr>
          <w:rFonts w:ascii="仿宋" w:eastAsia="仿宋" w:cs="仿宋_GB2312"/>
          <w:kern w:val="0"/>
          <w:sz w:val="32"/>
          <w:szCs w:val="28"/>
        </w:rPr>
        <w:t>2</w:t>
      </w:r>
      <w:r>
        <w:rPr>
          <w:rFonts w:hint="eastAsia" w:ascii="仿宋" w:hAnsi="仿宋_GB2312" w:eastAsia="仿宋" w:cs="仿宋_GB2312"/>
          <w:kern w:val="0"/>
          <w:sz w:val="32"/>
          <w:szCs w:val="28"/>
        </w:rPr>
        <w:t>、指导、督促、检查各乡镇、各部门的老干部工作，组织和协调区直有关部门共同做好老干部工作。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ind w:firstLine="640" w:firstLineChars="200"/>
        <w:rPr>
          <w:rFonts w:ascii="仿宋" w:eastAsia="仿宋"/>
          <w:kern w:val="0"/>
          <w:sz w:val="32"/>
          <w:szCs w:val="28"/>
        </w:rPr>
      </w:pPr>
      <w:r>
        <w:rPr>
          <w:rFonts w:ascii="仿宋" w:eastAsia="仿宋" w:cs="仿宋_GB2312"/>
          <w:kern w:val="0"/>
          <w:sz w:val="32"/>
          <w:szCs w:val="28"/>
        </w:rPr>
        <w:t>3</w:t>
      </w:r>
      <w:r>
        <w:rPr>
          <w:rFonts w:hint="eastAsia" w:ascii="仿宋" w:hAnsi="仿宋_GB2312" w:eastAsia="仿宋" w:cs="仿宋_GB2312"/>
          <w:kern w:val="0"/>
          <w:sz w:val="32"/>
          <w:szCs w:val="28"/>
        </w:rPr>
        <w:t>、指导各乡镇、区直各单位老干部安置工作，负责进出区离休干部易地安置手续，负责办理离休荣誉证。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ind w:firstLine="640" w:firstLineChars="200"/>
        <w:rPr>
          <w:rFonts w:ascii="仿宋" w:eastAsia="仿宋"/>
          <w:kern w:val="0"/>
          <w:sz w:val="32"/>
          <w:szCs w:val="28"/>
        </w:rPr>
      </w:pPr>
      <w:r>
        <w:rPr>
          <w:rFonts w:ascii="仿宋" w:eastAsia="仿宋" w:cs="仿宋_GB2312"/>
          <w:kern w:val="0"/>
          <w:sz w:val="32"/>
          <w:szCs w:val="28"/>
        </w:rPr>
        <w:t>4</w:t>
      </w:r>
      <w:r>
        <w:rPr>
          <w:rFonts w:hint="eastAsia" w:ascii="仿宋" w:hAnsi="仿宋_GB2312" w:eastAsia="仿宋" w:cs="仿宋_GB2312"/>
          <w:kern w:val="0"/>
          <w:sz w:val="32"/>
          <w:szCs w:val="28"/>
        </w:rPr>
        <w:t>、督促、指导各乡镇、各部门落实老干部的政治、生活待遇，检查离休干部离休费、医药费的落实，调查研究老干部政治、生活待遇中的问题，协调有关部门提出解决办法。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ind w:firstLine="640" w:firstLineChars="200"/>
        <w:rPr>
          <w:rFonts w:ascii="仿宋" w:eastAsia="仿宋"/>
          <w:kern w:val="0"/>
          <w:sz w:val="32"/>
          <w:szCs w:val="28"/>
        </w:rPr>
      </w:pPr>
      <w:r>
        <w:rPr>
          <w:rFonts w:ascii="仿宋" w:eastAsia="仿宋" w:cs="仿宋_GB2312"/>
          <w:kern w:val="0"/>
          <w:sz w:val="32"/>
          <w:szCs w:val="28"/>
        </w:rPr>
        <w:t>5</w:t>
      </w:r>
      <w:r>
        <w:rPr>
          <w:rFonts w:hint="eastAsia" w:ascii="仿宋" w:hAnsi="仿宋_GB2312" w:eastAsia="仿宋" w:cs="仿宋_GB2312"/>
          <w:kern w:val="0"/>
          <w:sz w:val="32"/>
          <w:szCs w:val="28"/>
        </w:rPr>
        <w:t>、协助组织部门抓好老干部党支部建设，加强和改进老干部的思想政治工作。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ind w:firstLine="640" w:firstLineChars="200"/>
        <w:rPr>
          <w:rFonts w:ascii="仿宋" w:eastAsia="仿宋"/>
          <w:kern w:val="0"/>
          <w:sz w:val="32"/>
          <w:szCs w:val="28"/>
        </w:rPr>
      </w:pPr>
      <w:r>
        <w:rPr>
          <w:rFonts w:ascii="仿宋" w:eastAsia="仿宋" w:cs="仿宋_GB2312"/>
          <w:kern w:val="0"/>
          <w:sz w:val="32"/>
          <w:szCs w:val="28"/>
        </w:rPr>
        <w:t>6</w:t>
      </w:r>
      <w:r>
        <w:rPr>
          <w:rFonts w:hint="eastAsia" w:ascii="仿宋" w:hAnsi="仿宋_GB2312" w:eastAsia="仿宋" w:cs="仿宋_GB2312"/>
          <w:kern w:val="0"/>
          <w:sz w:val="32"/>
          <w:szCs w:val="28"/>
        </w:rPr>
        <w:t>、负责管理区老干部活动中心，指导各乡镇老干部活动室建设。组织和指导老干部开展健康科学的文化艺术、体育娱乐、保健讲座、健康疗养、参观学习等活动，负责“老年大学”的建设和管理。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ind w:firstLine="640" w:firstLineChars="200"/>
        <w:rPr>
          <w:rFonts w:ascii="仿宋" w:eastAsia="仿宋"/>
          <w:kern w:val="0"/>
          <w:sz w:val="32"/>
          <w:szCs w:val="28"/>
        </w:rPr>
      </w:pPr>
      <w:r>
        <w:rPr>
          <w:rFonts w:ascii="仿宋" w:eastAsia="仿宋" w:cs="仿宋_GB2312"/>
          <w:kern w:val="0"/>
          <w:sz w:val="32"/>
          <w:szCs w:val="28"/>
        </w:rPr>
        <w:t>7</w:t>
      </w:r>
      <w:r>
        <w:rPr>
          <w:rFonts w:hint="eastAsia" w:ascii="仿宋" w:hAnsi="仿宋_GB2312" w:eastAsia="仿宋" w:cs="仿宋_GB2312"/>
          <w:kern w:val="0"/>
          <w:sz w:val="32"/>
          <w:szCs w:val="28"/>
        </w:rPr>
        <w:t>、指导和组织老干部在政治、经济、文化等领域发挥作用。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ind w:firstLine="640" w:firstLineChars="200"/>
        <w:rPr>
          <w:rFonts w:ascii="仿宋" w:eastAsia="仿宋"/>
          <w:kern w:val="0"/>
          <w:sz w:val="32"/>
          <w:szCs w:val="28"/>
        </w:rPr>
      </w:pPr>
      <w:r>
        <w:rPr>
          <w:rFonts w:ascii="仿宋" w:eastAsia="仿宋" w:cs="仿宋_GB2312"/>
          <w:kern w:val="0"/>
          <w:sz w:val="32"/>
          <w:szCs w:val="28"/>
        </w:rPr>
        <w:t>8</w:t>
      </w:r>
      <w:r>
        <w:rPr>
          <w:rFonts w:hint="eastAsia" w:ascii="仿宋" w:hAnsi="仿宋_GB2312" w:eastAsia="仿宋" w:cs="仿宋_GB2312"/>
          <w:kern w:val="0"/>
          <w:sz w:val="32"/>
          <w:szCs w:val="28"/>
        </w:rPr>
        <w:t>、负责指导逝世离休干部的善后工作。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20" w:lineRule="exact"/>
        <w:ind w:firstLine="640" w:firstLineChars="200"/>
        <w:rPr>
          <w:rFonts w:ascii="仿宋" w:eastAsia="仿宋"/>
          <w:kern w:val="0"/>
          <w:sz w:val="32"/>
          <w:szCs w:val="28"/>
        </w:rPr>
      </w:pPr>
      <w:r>
        <w:rPr>
          <w:rFonts w:ascii="仿宋" w:eastAsia="仿宋" w:cs="仿宋_GB2312"/>
          <w:kern w:val="0"/>
          <w:sz w:val="32"/>
          <w:szCs w:val="28"/>
        </w:rPr>
        <w:t>9</w:t>
      </w:r>
      <w:r>
        <w:rPr>
          <w:rFonts w:hint="eastAsia" w:ascii="仿宋" w:hAnsi="仿宋_GB2312" w:eastAsia="仿宋" w:cs="仿宋_GB2312"/>
          <w:kern w:val="0"/>
          <w:sz w:val="32"/>
          <w:szCs w:val="28"/>
        </w:rPr>
        <w:t>、承担区委老干部工作领导小组办公室的日常工作。做好老干部工作的接待工作。</w:t>
      </w:r>
    </w:p>
    <w:p>
      <w:pPr>
        <w:spacing w:line="360" w:lineRule="auto"/>
        <w:ind w:firstLine="480" w:firstLineChars="150"/>
        <w:rPr>
          <w:rFonts w:ascii="仿宋" w:hAnsi="仿宋" w:eastAsia="仿宋"/>
          <w:b/>
          <w:sz w:val="32"/>
          <w:szCs w:val="32"/>
        </w:rPr>
      </w:pPr>
      <w:r>
        <w:rPr>
          <w:rFonts w:ascii="仿宋" w:eastAsia="仿宋" w:cs="仿宋_GB2312"/>
          <w:kern w:val="0"/>
          <w:sz w:val="32"/>
          <w:szCs w:val="28"/>
        </w:rPr>
        <w:t>10</w:t>
      </w:r>
      <w:r>
        <w:rPr>
          <w:rFonts w:hint="eastAsia" w:ascii="仿宋" w:hAnsi="仿宋_GB2312" w:eastAsia="仿宋" w:cs="仿宋_GB2312"/>
          <w:kern w:val="0"/>
          <w:sz w:val="32"/>
          <w:szCs w:val="28"/>
        </w:rPr>
        <w:t>、承办区委、区政府交办的其他事宜。</w:t>
      </w:r>
    </w:p>
    <w:p>
      <w:pPr>
        <w:spacing w:line="360" w:lineRule="auto"/>
        <w:ind w:firstLine="643" w:firstLineChars="200"/>
        <w:jc w:val="center"/>
        <w:rPr>
          <w:rFonts w:ascii="仿宋" w:hAnsi="仿宋" w:eastAsia="仿宋"/>
          <w:b/>
          <w:sz w:val="32"/>
          <w:szCs w:val="32"/>
        </w:rPr>
      </w:pPr>
      <w:r>
        <w:rPr>
          <w:rFonts w:hint="eastAsia" w:ascii="仿宋" w:hAnsi="仿宋" w:eastAsia="仿宋"/>
          <w:b/>
          <w:sz w:val="32"/>
          <w:szCs w:val="32"/>
        </w:rPr>
        <w:t>二、机构设置</w:t>
      </w:r>
    </w:p>
    <w:tbl>
      <w:tblPr>
        <w:tblStyle w:val="6"/>
        <w:tblW w:w="90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06"/>
        <w:gridCol w:w="1387"/>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3006"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387"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006" w:type="dxa"/>
            <w:vAlign w:val="center"/>
          </w:tcPr>
          <w:p>
            <w:pPr>
              <w:spacing w:line="300" w:lineRule="exact"/>
              <w:jc w:val="center"/>
              <w:rPr>
                <w:rFonts w:ascii="仿宋" w:hAnsi="仿宋" w:eastAsia="仿宋"/>
                <w:sz w:val="24"/>
                <w:szCs w:val="24"/>
              </w:rPr>
            </w:pPr>
            <w:r>
              <w:rPr>
                <w:rFonts w:hint="eastAsia" w:ascii="仿宋" w:hAnsi="仿宋" w:eastAsia="仿宋" w:cs="宋体"/>
                <w:color w:val="000000"/>
                <w:kern w:val="0"/>
                <w:sz w:val="24"/>
                <w:szCs w:val="24"/>
              </w:rPr>
              <w:t>保定市徐水区委老干部局</w:t>
            </w:r>
          </w:p>
        </w:tc>
        <w:tc>
          <w:tcPr>
            <w:tcW w:w="1387" w:type="dxa"/>
            <w:vAlign w:val="center"/>
          </w:tcPr>
          <w:p>
            <w:pPr>
              <w:spacing w:line="300" w:lineRule="exact"/>
              <w:jc w:val="center"/>
              <w:rPr>
                <w:rFonts w:ascii="仿宋" w:hAnsi="仿宋" w:eastAsia="仿宋"/>
                <w:sz w:val="24"/>
                <w:szCs w:val="24"/>
              </w:rPr>
            </w:pPr>
            <w:r>
              <w:rPr>
                <w:rFonts w:hint="eastAsia" w:ascii="仿宋" w:hAnsi="仿宋" w:eastAsia="仿宋" w:cs="宋体"/>
                <w:color w:val="000000"/>
                <w:kern w:val="0"/>
                <w:sz w:val="24"/>
                <w:szCs w:val="24"/>
              </w:rPr>
              <w:t>行政</w:t>
            </w:r>
          </w:p>
        </w:tc>
        <w:tc>
          <w:tcPr>
            <w:tcW w:w="1418" w:type="dxa"/>
            <w:vAlign w:val="center"/>
          </w:tcPr>
          <w:p>
            <w:pPr>
              <w:spacing w:line="300" w:lineRule="exact"/>
              <w:jc w:val="center"/>
              <w:rPr>
                <w:rFonts w:ascii="仿宋" w:hAnsi="仿宋" w:eastAsia="仿宋"/>
                <w:sz w:val="24"/>
                <w:szCs w:val="24"/>
              </w:rPr>
            </w:pPr>
            <w:r>
              <w:rPr>
                <w:rFonts w:hint="eastAsia" w:ascii="仿宋" w:hAnsi="仿宋" w:eastAsia="仿宋" w:cs="宋体"/>
                <w:color w:val="000000"/>
                <w:kern w:val="0"/>
                <w:sz w:val="24"/>
                <w:szCs w:val="24"/>
              </w:rPr>
              <w:t>正科级</w:t>
            </w:r>
          </w:p>
        </w:tc>
        <w:tc>
          <w:tcPr>
            <w:tcW w:w="3260" w:type="dxa"/>
            <w:vAlign w:val="center"/>
          </w:tcPr>
          <w:p>
            <w:pPr>
              <w:spacing w:line="300" w:lineRule="exact"/>
              <w:jc w:val="center"/>
              <w:rPr>
                <w:rFonts w:ascii="仿宋" w:hAnsi="仿宋" w:eastAsia="仿宋"/>
                <w:sz w:val="24"/>
                <w:szCs w:val="24"/>
              </w:rPr>
            </w:pPr>
            <w:r>
              <w:rPr>
                <w:rFonts w:hint="eastAsia" w:ascii="仿宋" w:hAnsi="仿宋" w:eastAsia="仿宋" w:cs="宋体"/>
                <w:color w:val="000000"/>
                <w:kern w:val="0"/>
                <w:sz w:val="24"/>
                <w:szCs w:val="24"/>
              </w:rPr>
              <w:t>财政拨款</w:t>
            </w:r>
          </w:p>
        </w:tc>
      </w:tr>
    </w:tbl>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第二部分：部门预算安排的总体情况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hint="eastAsia" w:ascii="仿宋" w:hAnsi="仿宋" w:eastAsia="仿宋"/>
          <w:sz w:val="32"/>
          <w:szCs w:val="32"/>
        </w:rPr>
      </w:pPr>
      <w:r>
        <w:rPr>
          <w:rFonts w:ascii="仿宋" w:hAnsi="仿宋" w:eastAsia="仿宋"/>
          <w:sz w:val="32"/>
          <w:szCs w:val="32"/>
        </w:rPr>
        <w:t>2019年预算收入为</w:t>
      </w:r>
      <w:r>
        <w:rPr>
          <w:rFonts w:hint="eastAsia" w:ascii="仿宋" w:hAnsi="仿宋" w:eastAsia="仿宋"/>
          <w:sz w:val="32"/>
          <w:szCs w:val="32"/>
        </w:rPr>
        <w:t>333.98</w:t>
      </w:r>
      <w:r>
        <w:rPr>
          <w:rFonts w:ascii="仿宋" w:hAnsi="仿宋" w:eastAsia="仿宋"/>
          <w:sz w:val="32"/>
          <w:szCs w:val="32"/>
        </w:rPr>
        <w:t>万元,其中：一般公共预算收</w:t>
      </w:r>
      <w:r>
        <w:rPr>
          <w:rFonts w:hint="eastAsia" w:ascii="仿宋" w:hAnsi="仿宋" w:eastAsia="仿宋"/>
          <w:sz w:val="32"/>
          <w:szCs w:val="32"/>
        </w:rPr>
        <w:t>333.98</w:t>
      </w:r>
      <w:r>
        <w:rPr>
          <w:rFonts w:ascii="仿宋" w:hAnsi="仿宋" w:eastAsia="仿宋"/>
          <w:sz w:val="32"/>
          <w:szCs w:val="32"/>
        </w:rPr>
        <w:t>万元</w:t>
      </w:r>
      <w:r>
        <w:rPr>
          <w:rFonts w:hint="eastAsia" w:ascii="仿宋" w:hAnsi="仿宋" w:eastAsia="仿宋"/>
          <w:sz w:val="32"/>
          <w:szCs w:val="32"/>
        </w:rPr>
        <w:t>，基金收入0元，财政专户收入0元，无其他来源收入。</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2019年部门支出预算：</w:t>
      </w:r>
      <w:r>
        <w:rPr>
          <w:rFonts w:hint="eastAsia" w:ascii="仿宋" w:hAnsi="仿宋" w:eastAsia="仿宋"/>
          <w:sz w:val="32"/>
          <w:szCs w:val="32"/>
        </w:rPr>
        <w:t>333.98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基本支出293.93万元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269.96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23.97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40.05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40.05</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本年度预算收支安排333.98万元，较上年增加131.42</w:t>
      </w:r>
      <w:r>
        <w:rPr>
          <w:rFonts w:ascii="仿宋" w:hAnsi="仿宋" w:eastAsia="仿宋"/>
          <w:sz w:val="32"/>
          <w:szCs w:val="32"/>
        </w:rPr>
        <w:t>万元。其中:基本支出增加</w:t>
      </w:r>
      <w:r>
        <w:rPr>
          <w:rFonts w:hint="eastAsia" w:ascii="仿宋" w:hAnsi="仿宋" w:eastAsia="仿宋"/>
          <w:sz w:val="32"/>
          <w:szCs w:val="32"/>
        </w:rPr>
        <w:t>119.92</w:t>
      </w:r>
      <w:r>
        <w:rPr>
          <w:rFonts w:ascii="仿宋" w:hAnsi="仿宋" w:eastAsia="仿宋"/>
          <w:sz w:val="32"/>
          <w:szCs w:val="32"/>
        </w:rPr>
        <w:t>万元，主要原因是</w:t>
      </w:r>
      <w:r>
        <w:rPr>
          <w:rFonts w:hint="eastAsia" w:ascii="仿宋" w:hAnsi="仿宋" w:eastAsia="仿宋"/>
          <w:sz w:val="32"/>
          <w:szCs w:val="32"/>
        </w:rPr>
        <w:t>人员调标增资</w:t>
      </w:r>
      <w:r>
        <w:rPr>
          <w:rFonts w:ascii="仿宋" w:hAnsi="仿宋" w:eastAsia="仿宋"/>
          <w:sz w:val="32"/>
          <w:szCs w:val="32"/>
        </w:rPr>
        <w:t>；项目支出增加</w:t>
      </w:r>
      <w:r>
        <w:rPr>
          <w:rFonts w:hint="eastAsia" w:ascii="仿宋" w:hAnsi="仿宋" w:eastAsia="仿宋"/>
          <w:sz w:val="32"/>
          <w:szCs w:val="32"/>
        </w:rPr>
        <w:t>11.50</w:t>
      </w:r>
      <w:r>
        <w:rPr>
          <w:rFonts w:ascii="仿宋" w:hAnsi="仿宋" w:eastAsia="仿宋"/>
          <w:sz w:val="32"/>
          <w:szCs w:val="32"/>
        </w:rPr>
        <w:t>万元，主要原因是</w:t>
      </w:r>
      <w:r>
        <w:rPr>
          <w:rFonts w:hint="eastAsia" w:ascii="仿宋" w:hAnsi="仿宋" w:eastAsia="仿宋"/>
          <w:sz w:val="32"/>
          <w:szCs w:val="32"/>
        </w:rPr>
        <w:t>新增离休干部慰问经费及特困离退休干部帮扶等</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2019年我部门机关运行经费安排</w:t>
      </w:r>
      <w:r>
        <w:rPr>
          <w:rFonts w:hint="eastAsia" w:ascii="仿宋" w:hAnsi="仿宋" w:eastAsia="仿宋"/>
          <w:sz w:val="32"/>
          <w:szCs w:val="32"/>
        </w:rPr>
        <w:t>23.97</w:t>
      </w:r>
      <w:r>
        <w:rPr>
          <w:rFonts w:ascii="仿宋" w:hAnsi="仿宋" w:eastAsia="仿宋"/>
          <w:sz w:val="32"/>
          <w:szCs w:val="32"/>
        </w:rPr>
        <w:t>万元，其中办公费</w:t>
      </w:r>
      <w:r>
        <w:rPr>
          <w:rFonts w:hint="eastAsia" w:ascii="仿宋" w:hAnsi="仿宋" w:eastAsia="仿宋"/>
          <w:sz w:val="32"/>
          <w:szCs w:val="32"/>
        </w:rPr>
        <w:t>2.35</w:t>
      </w:r>
      <w:r>
        <w:rPr>
          <w:rFonts w:ascii="仿宋" w:hAnsi="仿宋" w:eastAsia="仿宋"/>
          <w:sz w:val="32"/>
          <w:szCs w:val="32"/>
        </w:rPr>
        <w:t>万元，邮电费</w:t>
      </w:r>
      <w:r>
        <w:rPr>
          <w:rFonts w:hint="eastAsia" w:ascii="仿宋" w:hAnsi="仿宋" w:eastAsia="仿宋"/>
          <w:sz w:val="32"/>
          <w:szCs w:val="32"/>
        </w:rPr>
        <w:t>4.32</w:t>
      </w:r>
      <w:r>
        <w:rPr>
          <w:rFonts w:ascii="仿宋" w:hAnsi="仿宋" w:eastAsia="仿宋"/>
          <w:sz w:val="32"/>
          <w:szCs w:val="32"/>
        </w:rPr>
        <w:t>万元，工会经费、福利费</w:t>
      </w:r>
      <w:r>
        <w:rPr>
          <w:rFonts w:hint="eastAsia" w:ascii="仿宋" w:hAnsi="仿宋" w:eastAsia="仿宋"/>
          <w:sz w:val="32"/>
          <w:szCs w:val="32"/>
        </w:rPr>
        <w:t>3.23</w:t>
      </w:r>
      <w:r>
        <w:rPr>
          <w:rFonts w:ascii="仿宋" w:hAnsi="仿宋" w:eastAsia="仿宋"/>
          <w:sz w:val="32"/>
          <w:szCs w:val="32"/>
        </w:rPr>
        <w:t>万元，公务用车运行维护费</w:t>
      </w:r>
      <w:r>
        <w:rPr>
          <w:rFonts w:hint="eastAsia" w:ascii="仿宋" w:hAnsi="仿宋" w:eastAsia="仿宋"/>
          <w:sz w:val="32"/>
          <w:szCs w:val="32"/>
        </w:rPr>
        <w:t>3</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11.07</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第四部分：财政拨款“三公”经费预算情况及增减变化原因</w:t>
      </w:r>
    </w:p>
    <w:tbl>
      <w:tblPr>
        <w:tblStyle w:val="6"/>
        <w:tblW w:w="5000" w:type="pct"/>
        <w:tblInd w:w="0" w:type="dxa"/>
        <w:tblLayout w:type="autofit"/>
        <w:tblCellMar>
          <w:top w:w="0" w:type="dxa"/>
          <w:left w:w="108" w:type="dxa"/>
          <w:bottom w:w="0" w:type="dxa"/>
          <w:right w:w="108" w:type="dxa"/>
        </w:tblCellMar>
      </w:tblPr>
      <w:tblGrid>
        <w:gridCol w:w="10083"/>
      </w:tblGrid>
      <w:tr>
        <w:trPr>
          <w:trHeight w:val="405" w:hRule="atLeast"/>
        </w:trPr>
        <w:tc>
          <w:tcPr>
            <w:tcW w:w="5000" w:type="pct"/>
            <w:tcBorders>
              <w:top w:val="nil"/>
              <w:left w:val="nil"/>
              <w:bottom w:val="nil"/>
              <w:right w:val="nil"/>
            </w:tcBorders>
            <w:shd w:val="clear" w:color="auto" w:fill="auto"/>
            <w:noWrap/>
            <w:vAlign w:val="center"/>
          </w:tcPr>
          <w:p>
            <w:pPr>
              <w:widowControl/>
              <w:spacing w:line="520" w:lineRule="exact"/>
              <w:rPr>
                <w:rFonts w:ascii="黑体" w:hAnsi="黑体" w:eastAsia="黑体"/>
                <w:sz w:val="32"/>
                <w:szCs w:val="32"/>
              </w:rPr>
            </w:pPr>
          </w:p>
          <w:tbl>
            <w:tblPr>
              <w:tblStyle w:val="6"/>
              <w:tblW w:w="0" w:type="auto"/>
              <w:tblInd w:w="0" w:type="dxa"/>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trPr>
              <w:tc>
                <w:tcPr>
                  <w:tcW w:w="8090" w:type="dxa"/>
                  <w:gridSpan w:val="5"/>
                  <w:tcBorders>
                    <w:top w:val="nil"/>
                    <w:left w:val="nil"/>
                    <w:bottom w:val="nil"/>
                    <w:right w:val="nil"/>
                  </w:tcBorders>
                  <w:vAlign w:val="center"/>
                </w:tcPr>
                <w:p>
                  <w:pPr>
                    <w:widowControl/>
                    <w:spacing w:line="520" w:lineRule="exact"/>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CellMar>
                  <w:top w:w="0" w:type="dxa"/>
                  <w:left w:w="108" w:type="dxa"/>
                  <w:bottom w:w="0" w:type="dxa"/>
                  <w:right w:w="108" w:type="dxa"/>
                </w:tblCellMar>
              </w:tblPrEx>
              <w:trPr>
                <w:trHeight w:val="221" w:hRule="atLeast"/>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2018年度预算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2019年度预算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第五部分：绩效预算信息</w:t>
      </w:r>
    </w:p>
    <w:p>
      <w:pPr>
        <w:pStyle w:val="12"/>
        <w:numPr>
          <w:ilvl w:val="0"/>
          <w:numId w:val="1"/>
        </w:numPr>
        <w:spacing w:line="360" w:lineRule="auto"/>
        <w:ind w:firstLineChars="0"/>
        <w:rPr>
          <w:rFonts w:ascii="仿宋" w:hAnsi="仿宋" w:eastAsia="仿宋"/>
          <w:b/>
          <w:sz w:val="32"/>
          <w:szCs w:val="32"/>
        </w:rPr>
      </w:pPr>
      <w:r>
        <w:rPr>
          <w:rFonts w:hint="eastAsia" w:ascii="仿宋" w:hAnsi="仿宋" w:eastAsia="仿宋"/>
          <w:b/>
          <w:sz w:val="32"/>
          <w:szCs w:val="32"/>
        </w:rPr>
        <w:t>总体绩效目标：</w:t>
      </w:r>
    </w:p>
    <w:p>
      <w:pPr>
        <w:spacing w:line="500" w:lineRule="exact"/>
        <w:ind w:firstLine="560"/>
        <w:rPr>
          <w:rFonts w:ascii="方正仿宋_GBK" w:eastAsia="方正仿宋_GBK"/>
          <w:sz w:val="28"/>
        </w:rPr>
      </w:pPr>
      <w:r>
        <w:rPr>
          <w:rFonts w:hint="eastAsia" w:ascii="方正仿宋_GBK" w:hAnsi="宋体" w:eastAsia="方正仿宋_GBK"/>
          <w:sz w:val="28"/>
        </w:rPr>
        <w:t>紧紧围绕全区中心工作和区委重要部署，科学决策、坚持以人为本，认真落实好离退休干部政治待遇，落实三项保障机制为重点</w:t>
      </w:r>
      <w:r>
        <w:rPr>
          <w:rFonts w:ascii="方正仿宋_GBK" w:eastAsia="方正仿宋_GBK"/>
          <w:sz w:val="28"/>
        </w:rPr>
        <w:t>,</w:t>
      </w:r>
      <w:r>
        <w:rPr>
          <w:rFonts w:hint="eastAsia" w:ascii="方正仿宋_GBK" w:hAnsi="宋体" w:eastAsia="方正仿宋_GBK"/>
          <w:sz w:val="28"/>
        </w:rPr>
        <w:t>抓好离退休干部的生活待遇，进一步完善老干部活动中心建设，组织引导老干部积极发挥余热。增强责任感和工作积极性，不断提高对离退休干部的服务水平。适应新形势、新任务、新要求，抓好老干部局自身建设，提高服务质量，不断规范履职行为，努力开创老干部局工作新局面。</w:t>
      </w:r>
    </w:p>
    <w:p>
      <w:pPr>
        <w:spacing w:line="360" w:lineRule="auto"/>
        <w:rPr>
          <w:rFonts w:ascii="仿宋" w:hAnsi="仿宋" w:eastAsia="仿宋"/>
          <w:b/>
          <w:sz w:val="32"/>
          <w:szCs w:val="32"/>
        </w:rPr>
      </w:pPr>
    </w:p>
    <w:p>
      <w:pPr>
        <w:pStyle w:val="12"/>
        <w:numPr>
          <w:ilvl w:val="0"/>
          <w:numId w:val="1"/>
        </w:numPr>
        <w:spacing w:line="360" w:lineRule="auto"/>
        <w:ind w:firstLineChars="0"/>
        <w:rPr>
          <w:rFonts w:ascii="仿宋" w:hAnsi="仿宋" w:eastAsia="仿宋"/>
          <w:b/>
          <w:sz w:val="32"/>
          <w:szCs w:val="32"/>
        </w:rPr>
      </w:pPr>
      <w:r>
        <w:rPr>
          <w:rFonts w:hint="eastAsia" w:ascii="仿宋" w:hAnsi="仿宋" w:eastAsia="仿宋"/>
          <w:b/>
          <w:sz w:val="32"/>
          <w:szCs w:val="32"/>
        </w:rPr>
        <w:t>部门职责及工作活动绩效目标指标</w:t>
      </w:r>
    </w:p>
    <w:p>
      <w:pPr>
        <w:pStyle w:val="12"/>
        <w:spacing w:line="360" w:lineRule="auto"/>
        <w:ind w:left="1363" w:firstLine="0" w:firstLineChars="0"/>
        <w:rPr>
          <w:rFonts w:ascii="仿宋" w:hAnsi="仿宋" w:eastAsia="仿宋"/>
          <w:b/>
          <w:sz w:val="32"/>
          <w:szCs w:val="32"/>
        </w:rPr>
      </w:pPr>
    </w:p>
    <w:p>
      <w:pPr>
        <w:pStyle w:val="12"/>
        <w:spacing w:line="360" w:lineRule="auto"/>
        <w:ind w:left="1363" w:firstLine="0" w:firstLineChars="0"/>
        <w:rPr>
          <w:rFonts w:ascii="仿宋" w:hAnsi="仿宋" w:eastAsia="仿宋"/>
          <w:b/>
          <w:sz w:val="32"/>
          <w:szCs w:val="32"/>
        </w:rPr>
      </w:pPr>
    </w:p>
    <w:p>
      <w:pPr>
        <w:pStyle w:val="12"/>
        <w:spacing w:line="360" w:lineRule="auto"/>
        <w:ind w:left="1363" w:firstLine="0" w:firstLineChars="0"/>
        <w:rPr>
          <w:rFonts w:ascii="仿宋" w:hAnsi="仿宋" w:eastAsia="仿宋"/>
          <w:b/>
          <w:sz w:val="32"/>
          <w:szCs w:val="32"/>
        </w:rPr>
      </w:pPr>
    </w:p>
    <w:p>
      <w:pPr>
        <w:pStyle w:val="12"/>
        <w:spacing w:line="360" w:lineRule="auto"/>
        <w:ind w:left="1363" w:firstLine="0" w:firstLineChars="0"/>
        <w:rPr>
          <w:rFonts w:ascii="仿宋" w:hAnsi="仿宋" w:eastAsia="仿宋"/>
          <w:b/>
          <w:sz w:val="32"/>
          <w:szCs w:val="32"/>
        </w:rPr>
      </w:pPr>
    </w:p>
    <w:p>
      <w:pPr>
        <w:pStyle w:val="12"/>
        <w:spacing w:line="360" w:lineRule="auto"/>
        <w:ind w:left="1363" w:firstLine="0" w:firstLineChars="0"/>
        <w:rPr>
          <w:rFonts w:ascii="仿宋" w:hAnsi="仿宋" w:eastAsia="仿宋"/>
          <w:b/>
          <w:sz w:val="32"/>
          <w:szCs w:val="32"/>
        </w:rPr>
      </w:pPr>
    </w:p>
    <w:p>
      <w:pPr>
        <w:pStyle w:val="12"/>
        <w:spacing w:line="360" w:lineRule="auto"/>
        <w:ind w:left="1363" w:firstLine="0" w:firstLineChars="0"/>
        <w:rPr>
          <w:rFonts w:ascii="仿宋" w:hAnsi="仿宋" w:eastAsia="仿宋"/>
          <w:b/>
          <w:sz w:val="32"/>
          <w:szCs w:val="32"/>
        </w:rPr>
      </w:pPr>
    </w:p>
    <w:p>
      <w:pPr>
        <w:pStyle w:val="12"/>
        <w:spacing w:line="360" w:lineRule="auto"/>
        <w:ind w:left="1363" w:firstLine="0" w:firstLineChars="0"/>
        <w:rPr>
          <w:rFonts w:ascii="仿宋" w:hAnsi="仿宋" w:eastAsia="仿宋"/>
          <w:b/>
          <w:sz w:val="32"/>
          <w:szCs w:val="32"/>
        </w:rPr>
      </w:pPr>
    </w:p>
    <w:p>
      <w:pPr>
        <w:pStyle w:val="12"/>
        <w:spacing w:line="360" w:lineRule="auto"/>
        <w:ind w:left="1363" w:firstLine="0" w:firstLineChars="0"/>
        <w:rPr>
          <w:rFonts w:ascii="仿宋" w:hAnsi="仿宋" w:eastAsia="仿宋"/>
          <w:b/>
          <w:sz w:val="32"/>
          <w:szCs w:val="32"/>
        </w:rPr>
      </w:pPr>
    </w:p>
    <w:p>
      <w:pPr>
        <w:pStyle w:val="12"/>
        <w:spacing w:line="360" w:lineRule="auto"/>
        <w:ind w:left="1363" w:firstLine="0" w:firstLineChars="0"/>
        <w:rPr>
          <w:rFonts w:ascii="仿宋" w:hAnsi="仿宋" w:eastAsia="仿宋"/>
          <w:b/>
          <w:sz w:val="32"/>
          <w:szCs w:val="32"/>
        </w:rPr>
      </w:pPr>
    </w:p>
    <w:p>
      <w:pPr>
        <w:pStyle w:val="12"/>
        <w:spacing w:line="360" w:lineRule="auto"/>
        <w:ind w:left="1363" w:firstLine="0" w:firstLineChars="0"/>
        <w:rPr>
          <w:rFonts w:ascii="仿宋" w:hAnsi="仿宋" w:eastAsia="仿宋"/>
          <w:b/>
          <w:sz w:val="32"/>
          <w:szCs w:val="32"/>
        </w:rPr>
      </w:pPr>
    </w:p>
    <w:p>
      <w:pPr>
        <w:pStyle w:val="12"/>
        <w:spacing w:line="360" w:lineRule="auto"/>
        <w:ind w:left="1363" w:firstLine="0" w:firstLineChars="0"/>
        <w:rPr>
          <w:rFonts w:ascii="仿宋" w:hAnsi="仿宋" w:eastAsia="仿宋"/>
          <w:b/>
          <w:sz w:val="32"/>
          <w:szCs w:val="32"/>
        </w:rPr>
      </w:pPr>
    </w:p>
    <w:p>
      <w:pPr>
        <w:pStyle w:val="12"/>
        <w:spacing w:line="360" w:lineRule="auto"/>
        <w:ind w:left="1363" w:firstLine="0" w:firstLineChars="0"/>
        <w:rPr>
          <w:rFonts w:ascii="仿宋" w:hAnsi="仿宋" w:eastAsia="仿宋"/>
          <w:b/>
          <w:sz w:val="32"/>
          <w:szCs w:val="32"/>
        </w:rPr>
      </w:pPr>
    </w:p>
    <w:p>
      <w:pPr>
        <w:pStyle w:val="12"/>
        <w:spacing w:line="360" w:lineRule="auto"/>
        <w:ind w:left="1363" w:firstLine="0" w:firstLineChars="0"/>
        <w:rPr>
          <w:rFonts w:ascii="仿宋" w:hAnsi="仿宋" w:eastAsia="仿宋"/>
          <w:b/>
          <w:sz w:val="32"/>
          <w:szCs w:val="32"/>
        </w:rPr>
        <w:sectPr>
          <w:pgSz w:w="11907" w:h="16839"/>
          <w:pgMar w:top="1361" w:right="1020" w:bottom="1361" w:left="1020" w:header="851" w:footer="992" w:gutter="0"/>
          <w:cols w:space="425" w:num="1"/>
          <w:docGrid w:type="lines" w:linePitch="312" w:charSpace="0"/>
        </w:sectPr>
      </w:pPr>
    </w:p>
    <w:p>
      <w:pPr>
        <w:pStyle w:val="12"/>
        <w:spacing w:line="360" w:lineRule="auto"/>
        <w:ind w:left="1363" w:firstLine="0" w:firstLineChars="0"/>
        <w:rPr>
          <w:rFonts w:ascii="仿宋" w:hAnsi="仿宋" w:eastAsia="仿宋"/>
          <w:b/>
          <w:sz w:val="32"/>
          <w:szCs w:val="32"/>
        </w:rPr>
      </w:pPr>
    </w:p>
    <w:p>
      <w:pPr>
        <w:jc w:val="center"/>
        <w:outlineLvl w:val="0"/>
        <w:rPr>
          <w:rFonts w:ascii="方正小标宋_GBK" w:eastAsia="方正小标宋_GBK"/>
          <w:color w:val="FFFFFF"/>
          <w:sz w:val="32"/>
        </w:rPr>
      </w:pPr>
      <w:bookmarkStart w:id="0" w:name="_Toc1730926"/>
      <w:r>
        <w:rPr>
          <w:rFonts w:hint="eastAsia" w:ascii="方正小标宋_GBK" w:eastAsia="方正小标宋_GBK"/>
          <w:sz w:val="32"/>
        </w:rPr>
        <w:t>部门职责-工作活动绩效目标</w:t>
      </w:r>
      <w:r>
        <w:rPr>
          <w:rStyle w:val="8"/>
          <w:rFonts w:ascii="方正小标宋_GBK" w:eastAsia="方正小标宋_GBK"/>
          <w:color w:val="FFFFFF"/>
          <w:sz w:val="32"/>
        </w:rPr>
        <w:footnoteReference w:id="0" w:customMarkFollows="1"/>
        <w:sym w:font="Symbol" w:char="F020"/>
      </w:r>
      <w:bookmarkEnd w:id="0"/>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287</w:t>
            </w:r>
            <w:r>
              <w:rPr>
                <w:rFonts w:hint="eastAsia" w:ascii="方正小标宋_GBK" w:eastAsia="方正小标宋_GBK"/>
                <w:sz w:val="24"/>
              </w:rPr>
              <w:t>中共保定市徐水区委老干部局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一、离退休干部政策及服务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25.87</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贯彻落实国家关于离退休干部的方针政策，组织落实离退休干部的政治、生活待遇</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保障离退休干部各项政策的落实</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、落实老干部政治、生活待遇</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25.87</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全面落实老干部政治、生活待遇</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让每位老干部感受到政治上的关心、生活上的爱护。</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老干部生活待遇保障率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老干部政治待遇保障率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老干部满意率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、老干部活动、组织建设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组织老干部参加社会、文体等各项活动，加强老干部基层组织和党支部建设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老干部日常生活活动丰富充实。</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举办活动次数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基层组织和党支部建设工作完成率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老干部满意率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二、老年活动阵地建设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8.90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建设、管理、使用好老年活动阵地，并指导全区阵地建设。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完善老年阵地建设体系</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、老年教育及关心下一代</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8.90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贯彻执行老年教育和老干部工作方针，构建终身教育体系；开展全区关心下一代工作，组织老同志参加青少年教育工作。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健全完善与经济社会发展相适应的老年教育体系，充分发挥老干部传帮带作用，传承优良作风，让下一代健康成长。</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开展青少年教育活动次数。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老年教育普及率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老干部满意率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三、综合事务管理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5.28</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老干部管理服务设施维修改造、后勤保障、日常运转。</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确保各项活动、工作正常运行。</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、综合事务管理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5.28</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离退休干部管理服务机构设施维修改造、后勤保障、日常运转。</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为老干部各项活动的顺利进行做好保障工作。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上门服务次数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w:t>
            </w:r>
          </w:p>
        </w:tc>
      </w:tr>
    </w:tbl>
    <w:p>
      <w:pPr>
        <w:spacing w:line="300" w:lineRule="exact"/>
        <w:jc w:val="left"/>
        <w:outlineLvl w:val="0"/>
        <w:sectPr>
          <w:pgSz w:w="16839" w:h="11907" w:orient="landscape"/>
          <w:pgMar w:top="1020" w:right="1361" w:bottom="1020" w:left="1361" w:header="851" w:footer="992" w:gutter="0"/>
          <w:cols w:space="425" w:num="1"/>
          <w:docGrid w:linePitch="312" w:charSpace="0"/>
        </w:sectPr>
      </w:pPr>
    </w:p>
    <w:p>
      <w:pPr>
        <w:spacing w:line="360" w:lineRule="auto"/>
        <w:ind w:firstLine="640" w:firstLineChars="200"/>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2019年，我部门无政府采购预算，空表列示。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下附部门政府采购预算表空表。</w:t>
      </w:r>
    </w:p>
    <w:p>
      <w:pPr>
        <w:spacing w:line="700" w:lineRule="exact"/>
        <w:jc w:val="left"/>
        <w:rPr>
          <w:rFonts w:ascii="方正小标宋_GBK" w:eastAsia="方正小标宋_GBK"/>
          <w:sz w:val="24"/>
        </w:rPr>
      </w:pPr>
    </w:p>
    <w:p>
      <w:pPr>
        <w:spacing w:line="700" w:lineRule="exact"/>
        <w:jc w:val="left"/>
        <w:rPr>
          <w:rFonts w:ascii="方正小标宋_GBK" w:eastAsia="方正小标宋_GBK"/>
          <w:sz w:val="24"/>
        </w:rPr>
      </w:pPr>
    </w:p>
    <w:p>
      <w:pPr>
        <w:spacing w:line="700" w:lineRule="exact"/>
        <w:jc w:val="left"/>
        <w:rPr>
          <w:rFonts w:ascii="方正小标宋_GBK" w:eastAsia="方正小标宋_GBK"/>
          <w:sz w:val="24"/>
        </w:rPr>
      </w:pPr>
    </w:p>
    <w:p>
      <w:pPr>
        <w:spacing w:line="700" w:lineRule="exact"/>
        <w:jc w:val="left"/>
        <w:rPr>
          <w:rFonts w:ascii="方正小标宋_GBK" w:eastAsia="方正小标宋_GBK"/>
          <w:sz w:val="24"/>
        </w:rPr>
      </w:pPr>
    </w:p>
    <w:p>
      <w:pPr>
        <w:spacing w:line="700" w:lineRule="exact"/>
        <w:jc w:val="left"/>
        <w:rPr>
          <w:rFonts w:ascii="方正小标宋_GBK" w:eastAsia="方正小标宋_GBK"/>
          <w:sz w:val="24"/>
        </w:rPr>
      </w:pPr>
    </w:p>
    <w:p>
      <w:pPr>
        <w:spacing w:line="700" w:lineRule="exact"/>
        <w:jc w:val="left"/>
        <w:rPr>
          <w:rFonts w:ascii="方正小标宋_GBK" w:eastAsia="方正小标宋_GBK"/>
          <w:sz w:val="24"/>
        </w:rPr>
      </w:pPr>
    </w:p>
    <w:p>
      <w:pPr>
        <w:spacing w:line="700" w:lineRule="exact"/>
        <w:jc w:val="left"/>
        <w:rPr>
          <w:rFonts w:ascii="方正小标宋_GBK" w:eastAsia="方正小标宋_GBK"/>
          <w:sz w:val="24"/>
        </w:rPr>
      </w:pPr>
    </w:p>
    <w:p>
      <w:pPr>
        <w:spacing w:line="700" w:lineRule="exact"/>
        <w:jc w:val="left"/>
        <w:rPr>
          <w:rFonts w:ascii="方正小标宋_GBK" w:eastAsia="方正小标宋_GBK"/>
          <w:sz w:val="24"/>
        </w:rPr>
      </w:pPr>
    </w:p>
    <w:p>
      <w:pPr>
        <w:spacing w:line="700" w:lineRule="exact"/>
        <w:jc w:val="left"/>
        <w:rPr>
          <w:rFonts w:ascii="方正小标宋_GBK" w:eastAsia="方正小标宋_GBK"/>
          <w:sz w:val="24"/>
        </w:rPr>
      </w:pPr>
    </w:p>
    <w:p>
      <w:pPr>
        <w:spacing w:line="700" w:lineRule="exact"/>
        <w:jc w:val="left"/>
        <w:rPr>
          <w:rFonts w:ascii="方正小标宋_GBK" w:eastAsia="方正小标宋_GBK"/>
          <w:sz w:val="24"/>
        </w:rPr>
      </w:pPr>
    </w:p>
    <w:p>
      <w:pPr>
        <w:spacing w:line="700" w:lineRule="exact"/>
        <w:jc w:val="left"/>
        <w:rPr>
          <w:rFonts w:ascii="方正小标宋_GBK" w:eastAsia="方正小标宋_GBK"/>
          <w:sz w:val="24"/>
        </w:rPr>
      </w:pPr>
    </w:p>
    <w:p>
      <w:pPr>
        <w:spacing w:line="700" w:lineRule="exact"/>
        <w:jc w:val="left"/>
        <w:rPr>
          <w:rFonts w:ascii="方正小标宋_GBK" w:eastAsia="方正小标宋_GBK"/>
          <w:sz w:val="24"/>
        </w:rPr>
      </w:pPr>
    </w:p>
    <w:p>
      <w:pPr>
        <w:spacing w:line="700" w:lineRule="exact"/>
        <w:jc w:val="left"/>
        <w:rPr>
          <w:rFonts w:ascii="方正小标宋_GBK" w:eastAsia="方正小标宋_GBK"/>
          <w:sz w:val="24"/>
        </w:rPr>
      </w:pPr>
    </w:p>
    <w:p>
      <w:pPr>
        <w:spacing w:line="700" w:lineRule="exact"/>
        <w:jc w:val="left"/>
        <w:rPr>
          <w:rFonts w:ascii="方正小标宋_GBK" w:eastAsia="方正小标宋_GBK"/>
          <w:sz w:val="24"/>
        </w:rPr>
      </w:pPr>
    </w:p>
    <w:p>
      <w:pPr>
        <w:spacing w:line="700" w:lineRule="exact"/>
        <w:jc w:val="left"/>
        <w:rPr>
          <w:rFonts w:ascii="方正小标宋_GBK" w:eastAsia="方正小标宋_GBK"/>
          <w:sz w:val="24"/>
        </w:rPr>
      </w:pPr>
    </w:p>
    <w:p>
      <w:pPr>
        <w:spacing w:line="700" w:lineRule="exact"/>
        <w:jc w:val="left"/>
        <w:rPr>
          <w:rFonts w:ascii="方正小标宋_GBK" w:eastAsia="方正小标宋_GBK"/>
          <w:sz w:val="24"/>
        </w:rPr>
        <w:sectPr>
          <w:footerReference r:id="rId4" w:type="default"/>
          <w:pgSz w:w="11906" w:h="16838"/>
          <w:pgMar w:top="1440" w:right="1440" w:bottom="1440" w:left="1440" w:header="851" w:footer="992" w:gutter="0"/>
          <w:cols w:space="425" w:num="1"/>
          <w:docGrid w:linePitch="312" w:charSpace="0"/>
        </w:sectPr>
      </w:pPr>
    </w:p>
    <w:tbl>
      <w:tblPr>
        <w:tblStyle w:val="6"/>
        <w:tblW w:w="13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764"/>
        <w:gridCol w:w="1134"/>
        <w:gridCol w:w="1134"/>
        <w:gridCol w:w="992"/>
        <w:gridCol w:w="851"/>
        <w:gridCol w:w="834"/>
        <w:gridCol w:w="709"/>
        <w:gridCol w:w="992"/>
        <w:gridCol w:w="1134"/>
        <w:gridCol w:w="851"/>
        <w:gridCol w:w="850"/>
        <w:gridCol w:w="851"/>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930" w:type="dxa"/>
            <w:gridSpan w:val="7"/>
            <w:tcBorders>
              <w:top w:val="single" w:color="FFFFFF" w:sz="6" w:space="0"/>
              <w:left w:val="single" w:color="FFFFFF" w:sz="6" w:space="0"/>
              <w:right w:val="single" w:color="FFFFFF" w:sz="6" w:space="0"/>
            </w:tcBorders>
            <w:vAlign w:val="center"/>
          </w:tcPr>
          <w:p>
            <w:pPr>
              <w:spacing w:line="700" w:lineRule="exact"/>
              <w:jc w:val="left"/>
              <w:rPr>
                <w:rFonts w:ascii="方正小标宋_GBK" w:eastAsia="方正小标宋_GBK"/>
                <w:sz w:val="24"/>
              </w:rPr>
            </w:pPr>
            <w:r>
              <w:rPr>
                <w:rFonts w:hint="eastAsia" w:ascii="方正小标宋_GBK" w:hAnsi="方正小标宋_GBK" w:eastAsia="方正小标宋_GBK" w:cs="方正小标宋_GBK"/>
                <w:sz w:val="24"/>
              </w:rPr>
              <w:t>©</w:t>
            </w:r>
          </w:p>
        </w:tc>
        <w:tc>
          <w:tcPr>
            <w:tcW w:w="6237" w:type="dxa"/>
            <w:gridSpan w:val="7"/>
            <w:tcBorders>
              <w:top w:val="single" w:color="FFFFFF" w:sz="6" w:space="0"/>
              <w:left w:val="single" w:color="FFFFFF" w:sz="6" w:space="0"/>
              <w:right w:val="single" w:color="FFFFFF" w:sz="6" w:space="0"/>
            </w:tcBorders>
            <w:vAlign w:val="center"/>
          </w:tcPr>
          <w:p>
            <w:pPr>
              <w:spacing w:line="700" w:lineRule="exact"/>
              <w:jc w:val="right"/>
              <w:rPr>
                <w:rFonts w:ascii="方正书宋_GBK" w:eastAsia="方正书宋_GBK"/>
                <w:sz w:val="24"/>
              </w:rPr>
            </w:pPr>
            <w:r>
              <w:rPr>
                <w:rFonts w:hint="eastAsia" w:ascii="宋体" w:hAnsi="宋体" w:cs="宋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85" w:type="dxa"/>
            <w:gridSpan w:val="2"/>
            <w:vAlign w:val="center"/>
          </w:tcPr>
          <w:p>
            <w:pPr>
              <w:spacing w:line="700" w:lineRule="exact"/>
              <w:jc w:val="center"/>
              <w:rPr>
                <w:rFonts w:ascii="方正书宋_GBK" w:eastAsia="方正书宋_GBK"/>
                <w:b/>
              </w:rPr>
            </w:pPr>
            <w:r>
              <w:rPr>
                <w:rFonts w:hint="eastAsia" w:ascii="宋体" w:hAnsi="宋体" w:cs="宋体"/>
                <w:b/>
              </w:rPr>
              <w:t>政府采购项目来源</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采购物品名称</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政府采购目录序号</w:t>
            </w:r>
          </w:p>
        </w:tc>
        <w:tc>
          <w:tcPr>
            <w:tcW w:w="992" w:type="dxa"/>
            <w:vMerge w:val="restart"/>
            <w:vAlign w:val="center"/>
          </w:tcPr>
          <w:p>
            <w:pPr>
              <w:spacing w:line="700" w:lineRule="exact"/>
              <w:jc w:val="center"/>
              <w:rPr>
                <w:rFonts w:ascii="方正书宋_GBK" w:eastAsia="方正书宋_GBK"/>
                <w:b/>
              </w:rPr>
            </w:pPr>
            <w:r>
              <w:rPr>
                <w:rFonts w:hint="eastAsia" w:ascii="宋体" w:hAnsi="宋体" w:cs="宋体"/>
                <w:b/>
              </w:rPr>
              <w:t>数量</w:t>
            </w:r>
            <w:r>
              <w:rPr>
                <w:rFonts w:ascii="方正书宋_GBK" w:eastAsia="方正书宋_GBK"/>
                <w:b/>
              </w:rPr>
              <w:t xml:space="preserve">  </w:t>
            </w:r>
            <w:r>
              <w:rPr>
                <w:rFonts w:hint="eastAsia" w:ascii="宋体" w:hAnsi="宋体" w:cs="宋体"/>
                <w:b/>
              </w:rPr>
              <w:t>单位</w:t>
            </w:r>
          </w:p>
        </w:tc>
        <w:tc>
          <w:tcPr>
            <w:tcW w:w="851" w:type="dxa"/>
            <w:vMerge w:val="restart"/>
            <w:vAlign w:val="center"/>
          </w:tcPr>
          <w:p>
            <w:pPr>
              <w:spacing w:line="700" w:lineRule="exact"/>
              <w:jc w:val="center"/>
              <w:rPr>
                <w:rFonts w:ascii="方正书宋_GBK" w:eastAsia="方正书宋_GBK"/>
                <w:b/>
              </w:rPr>
            </w:pPr>
            <w:r>
              <w:rPr>
                <w:rFonts w:hint="eastAsia" w:ascii="宋体" w:hAnsi="宋体" w:cs="宋体"/>
                <w:b/>
              </w:rPr>
              <w:t>数量</w:t>
            </w:r>
          </w:p>
        </w:tc>
        <w:tc>
          <w:tcPr>
            <w:tcW w:w="834" w:type="dxa"/>
            <w:vMerge w:val="restart"/>
            <w:vAlign w:val="center"/>
          </w:tcPr>
          <w:p>
            <w:pPr>
              <w:spacing w:line="700" w:lineRule="exact"/>
              <w:jc w:val="center"/>
              <w:rPr>
                <w:rFonts w:ascii="方正书宋_GBK" w:eastAsia="方正书宋_GBK"/>
                <w:b/>
              </w:rPr>
            </w:pPr>
            <w:r>
              <w:rPr>
                <w:rFonts w:hint="eastAsia" w:ascii="宋体" w:hAnsi="宋体" w:cs="宋体"/>
                <w:b/>
              </w:rPr>
              <w:t>单价</w:t>
            </w:r>
          </w:p>
        </w:tc>
        <w:tc>
          <w:tcPr>
            <w:tcW w:w="6237" w:type="dxa"/>
            <w:gridSpan w:val="7"/>
            <w:vAlign w:val="center"/>
          </w:tcPr>
          <w:p>
            <w:pPr>
              <w:spacing w:line="700" w:lineRule="exact"/>
              <w:jc w:val="center"/>
              <w:rPr>
                <w:rFonts w:ascii="方正书宋_GBK" w:eastAsia="方正书宋_GBK"/>
                <w:b/>
              </w:rPr>
            </w:pPr>
            <w:r>
              <w:rPr>
                <w:rFonts w:hint="eastAsia" w:ascii="宋体" w:hAnsi="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restart"/>
            <w:vAlign w:val="center"/>
          </w:tcPr>
          <w:p>
            <w:pPr>
              <w:spacing w:line="700" w:lineRule="exact"/>
              <w:jc w:val="center"/>
              <w:rPr>
                <w:rFonts w:ascii="方正书宋_GBK" w:eastAsia="方正书宋_GBK"/>
                <w:b/>
              </w:rPr>
            </w:pPr>
            <w:r>
              <w:rPr>
                <w:rFonts w:hint="eastAsia" w:ascii="宋体" w:hAnsi="宋体" w:cs="宋体"/>
                <w:b/>
              </w:rPr>
              <w:t>项目名称</w:t>
            </w:r>
          </w:p>
        </w:tc>
        <w:tc>
          <w:tcPr>
            <w:tcW w:w="764" w:type="dxa"/>
            <w:vMerge w:val="restart"/>
            <w:vAlign w:val="center"/>
          </w:tcPr>
          <w:p>
            <w:pPr>
              <w:spacing w:line="700" w:lineRule="exact"/>
              <w:jc w:val="center"/>
              <w:rPr>
                <w:rFonts w:ascii="方正书宋_GBK" w:eastAsia="方正书宋_GBK"/>
                <w:b/>
              </w:rPr>
            </w:pPr>
            <w:r>
              <w:rPr>
                <w:rFonts w:hint="eastAsia" w:ascii="宋体" w:hAnsi="宋体" w:cs="宋体"/>
                <w:b/>
              </w:rPr>
              <w:t>预算资金</w:t>
            </w: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restart"/>
            <w:vAlign w:val="center"/>
          </w:tcPr>
          <w:p>
            <w:pPr>
              <w:spacing w:line="700" w:lineRule="exact"/>
              <w:jc w:val="center"/>
              <w:rPr>
                <w:rFonts w:ascii="方正书宋_GBK" w:eastAsia="方正书宋_GBK"/>
                <w:b/>
              </w:rPr>
            </w:pPr>
            <w:r>
              <w:rPr>
                <w:rFonts w:hint="eastAsia" w:ascii="宋体" w:hAnsi="宋体" w:cs="宋体"/>
                <w:b/>
              </w:rPr>
              <w:t>总计</w:t>
            </w:r>
          </w:p>
        </w:tc>
        <w:tc>
          <w:tcPr>
            <w:tcW w:w="4678" w:type="dxa"/>
            <w:gridSpan w:val="5"/>
            <w:vAlign w:val="center"/>
          </w:tcPr>
          <w:p>
            <w:pPr>
              <w:spacing w:line="700" w:lineRule="exact"/>
              <w:jc w:val="center"/>
              <w:rPr>
                <w:rFonts w:ascii="方正书宋_GBK" w:eastAsia="方正书宋_GBK"/>
                <w:b/>
              </w:rPr>
            </w:pPr>
            <w:r>
              <w:rPr>
                <w:rFonts w:hint="eastAsia" w:ascii="宋体" w:hAnsi="宋体" w:cs="宋体"/>
                <w:b/>
              </w:rPr>
              <w:t>当年部门预算安排资金</w:t>
            </w:r>
          </w:p>
        </w:tc>
        <w:tc>
          <w:tcPr>
            <w:tcW w:w="850" w:type="dxa"/>
            <w:vMerge w:val="restart"/>
            <w:vAlign w:val="center"/>
          </w:tcPr>
          <w:p>
            <w:pPr>
              <w:spacing w:line="700" w:lineRule="exact"/>
              <w:jc w:val="center"/>
              <w:rPr>
                <w:rFonts w:ascii="方正书宋_GBK" w:eastAsia="方正书宋_GBK"/>
                <w:b/>
              </w:rPr>
            </w:pPr>
            <w:r>
              <w:rPr>
                <w:rFonts w:hint="eastAsia" w:ascii="宋体" w:hAnsi="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continue"/>
            <w:vAlign w:val="center"/>
          </w:tcPr>
          <w:p>
            <w:pPr>
              <w:spacing w:line="700" w:lineRule="exact"/>
              <w:jc w:val="left"/>
              <w:outlineLvl w:val="0"/>
            </w:pPr>
          </w:p>
        </w:tc>
        <w:tc>
          <w:tcPr>
            <w:tcW w:w="76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continue"/>
            <w:vAlign w:val="center"/>
          </w:tcPr>
          <w:p>
            <w:pPr>
              <w:spacing w:line="700" w:lineRule="exact"/>
              <w:jc w:val="left"/>
              <w:outlineLvl w:val="0"/>
            </w:pPr>
          </w:p>
        </w:tc>
        <w:tc>
          <w:tcPr>
            <w:tcW w:w="992" w:type="dxa"/>
            <w:vAlign w:val="center"/>
          </w:tcPr>
          <w:p>
            <w:pPr>
              <w:spacing w:line="700" w:lineRule="exact"/>
              <w:jc w:val="center"/>
              <w:rPr>
                <w:rFonts w:ascii="方正书宋_GBK" w:eastAsia="方正书宋_GBK"/>
                <w:b/>
              </w:rPr>
            </w:pPr>
            <w:r>
              <w:rPr>
                <w:rFonts w:hint="eastAsia" w:ascii="宋体" w:hAnsi="宋体" w:cs="宋体"/>
                <w:b/>
              </w:rPr>
              <w:t>合计</w:t>
            </w:r>
          </w:p>
        </w:tc>
        <w:tc>
          <w:tcPr>
            <w:tcW w:w="1134" w:type="dxa"/>
            <w:vAlign w:val="center"/>
          </w:tcPr>
          <w:p>
            <w:pPr>
              <w:spacing w:line="700" w:lineRule="exact"/>
              <w:jc w:val="center"/>
              <w:rPr>
                <w:rFonts w:ascii="方正书宋_GBK" w:eastAsia="方正书宋_GBK"/>
                <w:b/>
              </w:rPr>
            </w:pPr>
            <w:r>
              <w:rPr>
                <w:rFonts w:hint="eastAsia" w:ascii="宋体" w:hAnsi="宋体" w:cs="宋体"/>
                <w:b/>
              </w:rPr>
              <w:t>一般公共预算拨款</w:t>
            </w:r>
          </w:p>
        </w:tc>
        <w:tc>
          <w:tcPr>
            <w:tcW w:w="851" w:type="dxa"/>
            <w:vAlign w:val="center"/>
          </w:tcPr>
          <w:p>
            <w:pPr>
              <w:spacing w:line="700" w:lineRule="exact"/>
              <w:jc w:val="center"/>
              <w:rPr>
                <w:rFonts w:ascii="方正书宋_GBK" w:eastAsia="方正书宋_GBK"/>
                <w:b/>
              </w:rPr>
            </w:pPr>
            <w:r>
              <w:rPr>
                <w:rFonts w:hint="eastAsia" w:ascii="宋体" w:hAnsi="宋体" w:cs="宋体"/>
                <w:b/>
              </w:rPr>
              <w:t>基金预算拨款</w:t>
            </w:r>
          </w:p>
        </w:tc>
        <w:tc>
          <w:tcPr>
            <w:tcW w:w="850" w:type="dxa"/>
            <w:vAlign w:val="center"/>
          </w:tcPr>
          <w:p>
            <w:pPr>
              <w:spacing w:line="700" w:lineRule="exact"/>
              <w:jc w:val="center"/>
              <w:rPr>
                <w:rFonts w:ascii="方正书宋_GBK" w:eastAsia="方正书宋_GBK"/>
                <w:b/>
              </w:rPr>
            </w:pPr>
            <w:r>
              <w:rPr>
                <w:rFonts w:hint="eastAsia" w:ascii="宋体" w:hAnsi="宋体" w:cs="宋体"/>
                <w:b/>
              </w:rPr>
              <w:t>财政专户核拨</w:t>
            </w:r>
          </w:p>
        </w:tc>
        <w:tc>
          <w:tcPr>
            <w:tcW w:w="851" w:type="dxa"/>
            <w:vAlign w:val="center"/>
          </w:tcPr>
          <w:p>
            <w:pPr>
              <w:spacing w:line="700" w:lineRule="exact"/>
              <w:jc w:val="center"/>
              <w:rPr>
                <w:rFonts w:ascii="方正书宋_GBK" w:eastAsia="方正书宋_GBK"/>
                <w:b/>
              </w:rPr>
            </w:pPr>
            <w:r>
              <w:rPr>
                <w:rFonts w:hint="eastAsia" w:ascii="宋体" w:hAnsi="宋体" w:cs="宋体"/>
                <w:b/>
              </w:rPr>
              <w:t>其他来源收入</w:t>
            </w:r>
          </w:p>
        </w:tc>
        <w:tc>
          <w:tcPr>
            <w:tcW w:w="850" w:type="dxa"/>
            <w:vMerge w:val="continue"/>
            <w:vAlign w:val="center"/>
          </w:tcPr>
          <w:p>
            <w:pPr>
              <w:spacing w:line="7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4" w:hRule="atLeast"/>
          <w:jc w:val="center"/>
        </w:trPr>
        <w:tc>
          <w:tcPr>
            <w:tcW w:w="1221" w:type="dxa"/>
            <w:vAlign w:val="center"/>
          </w:tcPr>
          <w:p>
            <w:pPr>
              <w:spacing w:line="700" w:lineRule="exact"/>
              <w:jc w:val="center"/>
              <w:rPr>
                <w:rFonts w:ascii="方正书宋_GBK" w:eastAsia="方正书宋_GBK"/>
                <w:b/>
              </w:rPr>
            </w:pPr>
          </w:p>
        </w:tc>
        <w:tc>
          <w:tcPr>
            <w:tcW w:w="764" w:type="dxa"/>
            <w:vAlign w:val="center"/>
          </w:tcPr>
          <w:p>
            <w:pPr>
              <w:spacing w:line="700" w:lineRule="exact"/>
              <w:jc w:val="righ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992" w:type="dxa"/>
            <w:vAlign w:val="center"/>
          </w:tcPr>
          <w:p>
            <w:pPr>
              <w:spacing w:line="700" w:lineRule="exact"/>
              <w:jc w:val="lef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34" w:type="dxa"/>
            <w:vAlign w:val="center"/>
          </w:tcPr>
          <w:p/>
        </w:tc>
        <w:tc>
          <w:tcPr>
            <w:tcW w:w="709" w:type="dxa"/>
            <w:vAlign w:val="center"/>
          </w:tcPr>
          <w:p>
            <w:pPr>
              <w:spacing w:line="700" w:lineRule="exact"/>
              <w:jc w:val="right"/>
              <w:rPr>
                <w:rFonts w:ascii="方正书宋_GBK" w:eastAsia="方正书宋_GBK"/>
                <w:b/>
              </w:rPr>
            </w:pPr>
          </w:p>
        </w:tc>
        <w:tc>
          <w:tcPr>
            <w:tcW w:w="992" w:type="dxa"/>
            <w:vAlign w:val="center"/>
          </w:tcPr>
          <w:p>
            <w:pPr>
              <w:spacing w:line="700" w:lineRule="exact"/>
              <w:jc w:val="right"/>
              <w:rPr>
                <w:rFonts w:ascii="方正书宋_GBK" w:eastAsia="方正书宋_GBK"/>
                <w:b/>
              </w:rPr>
            </w:pPr>
          </w:p>
        </w:tc>
        <w:tc>
          <w:tcPr>
            <w:tcW w:w="1134"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9" w:hRule="atLeast"/>
          <w:jc w:val="center"/>
        </w:trPr>
        <w:tc>
          <w:tcPr>
            <w:tcW w:w="1221" w:type="dxa"/>
            <w:vAlign w:val="center"/>
          </w:tcPr>
          <w:p>
            <w:pPr>
              <w:spacing w:line="700" w:lineRule="exact"/>
              <w:jc w:val="left"/>
              <w:rPr>
                <w:rFonts w:ascii="方正书宋_GBK" w:eastAsia="方正书宋_GBK"/>
              </w:rPr>
            </w:pPr>
          </w:p>
        </w:tc>
        <w:tc>
          <w:tcPr>
            <w:tcW w:w="764" w:type="dxa"/>
            <w:vAlign w:val="center"/>
          </w:tcPr>
          <w:p>
            <w:pPr>
              <w:spacing w:line="700" w:lineRule="exact"/>
              <w:jc w:val="righ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992" w:type="dxa"/>
            <w:vAlign w:val="center"/>
          </w:tcPr>
          <w:p>
            <w:pPr>
              <w:spacing w:line="700" w:lineRule="exact"/>
              <w:jc w:val="lef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34" w:type="dxa"/>
            <w:vAlign w:val="center"/>
          </w:tcPr>
          <w:p>
            <w:pPr>
              <w:spacing w:line="700" w:lineRule="exact"/>
              <w:jc w:val="right"/>
              <w:rPr>
                <w:rFonts w:ascii="方正书宋_GBK" w:eastAsia="方正书宋_GBK"/>
              </w:rPr>
            </w:pPr>
          </w:p>
        </w:tc>
        <w:tc>
          <w:tcPr>
            <w:tcW w:w="709" w:type="dxa"/>
            <w:vAlign w:val="center"/>
          </w:tcPr>
          <w:p>
            <w:pPr>
              <w:spacing w:line="700" w:lineRule="exact"/>
              <w:jc w:val="right"/>
              <w:rPr>
                <w:rFonts w:ascii="方正书宋_GBK" w:eastAsia="方正书宋_GBK"/>
              </w:rPr>
            </w:pPr>
          </w:p>
        </w:tc>
        <w:tc>
          <w:tcPr>
            <w:tcW w:w="992" w:type="dxa"/>
            <w:vAlign w:val="center"/>
          </w:tcPr>
          <w:p>
            <w:pPr>
              <w:spacing w:line="700" w:lineRule="exact"/>
              <w:jc w:val="right"/>
              <w:rPr>
                <w:rFonts w:ascii="方正书宋_GBK" w:eastAsia="方正书宋_GBK"/>
              </w:rPr>
            </w:pPr>
          </w:p>
        </w:tc>
        <w:tc>
          <w:tcPr>
            <w:tcW w:w="1134"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r>
    </w:tbl>
    <w:p>
      <w:pPr>
        <w:spacing w:line="360" w:lineRule="auto"/>
        <w:rPr>
          <w:rFonts w:ascii="仿宋" w:hAnsi="仿宋" w:eastAsia="仿宋"/>
          <w:sz w:val="32"/>
          <w:szCs w:val="32"/>
        </w:rPr>
        <w:sectPr>
          <w:pgSz w:w="16838" w:h="11906" w:orient="landscape"/>
          <w:pgMar w:top="1440" w:right="1440" w:bottom="1440" w:left="1440" w:header="851" w:footer="992" w:gutter="0"/>
          <w:cols w:space="425" w:num="1"/>
          <w:docGrid w:linePitch="312" w:charSpace="0"/>
        </w:sectPr>
      </w:pPr>
    </w:p>
    <w:p>
      <w:pPr>
        <w:spacing w:line="360" w:lineRule="auto"/>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上年末我部门固定资产总金额为247.93万元（详见下表）。</w:t>
      </w:r>
      <w:r>
        <w:rPr>
          <w:rFonts w:ascii="仿宋" w:hAnsi="仿宋" w:eastAsia="仿宋"/>
          <w:sz w:val="32"/>
          <w:szCs w:val="32"/>
        </w:rPr>
        <w:t xml:space="preserve"> </w:t>
      </w: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6"/>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截止时间：2018年12月31日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247.93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1963</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189.6</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1963</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189.6</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42.03</w:t>
            </w:r>
          </w:p>
        </w:tc>
      </w:tr>
    </w:tbl>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440" w:bottom="144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5373602"/>
      <w:docPartObj>
        <w:docPartGallery w:val="AutoText"/>
      </w:docPartObj>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8"/>
        </w:rPr>
        <w:sym w:font="Symbol" w:char="F020"/>
      </w:r>
      <w:r>
        <w:rPr>
          <w:rFonts w:hint="eastAsia" w:ascii="方正楷体_GBK" w:eastAsia="方正楷体_GBK"/>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1A5321"/>
    <w:multiLevelType w:val="multilevel"/>
    <w:tmpl w:val="711A5321"/>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YWZmNDE3MDVmY2E3YjhjY2E2MTU4OTE1MzRjZDEifQ=="/>
  </w:docVars>
  <w:rsids>
    <w:rsidRoot w:val="00055F1F"/>
    <w:rsid w:val="00013B8A"/>
    <w:rsid w:val="00044FBC"/>
    <w:rsid w:val="00055F1F"/>
    <w:rsid w:val="00057F18"/>
    <w:rsid w:val="000A445D"/>
    <w:rsid w:val="00121ED2"/>
    <w:rsid w:val="00131DEC"/>
    <w:rsid w:val="001462BD"/>
    <w:rsid w:val="00152380"/>
    <w:rsid w:val="001638BE"/>
    <w:rsid w:val="00181777"/>
    <w:rsid w:val="001B4688"/>
    <w:rsid w:val="001F4875"/>
    <w:rsid w:val="00223029"/>
    <w:rsid w:val="002918C6"/>
    <w:rsid w:val="00296524"/>
    <w:rsid w:val="002B28F7"/>
    <w:rsid w:val="002E01F6"/>
    <w:rsid w:val="002F530F"/>
    <w:rsid w:val="00305E97"/>
    <w:rsid w:val="00320FC0"/>
    <w:rsid w:val="0032782B"/>
    <w:rsid w:val="00340B3D"/>
    <w:rsid w:val="00367A30"/>
    <w:rsid w:val="003A06D2"/>
    <w:rsid w:val="003C2317"/>
    <w:rsid w:val="003C442E"/>
    <w:rsid w:val="003D1092"/>
    <w:rsid w:val="003D37CD"/>
    <w:rsid w:val="003E5531"/>
    <w:rsid w:val="003F2729"/>
    <w:rsid w:val="0040243C"/>
    <w:rsid w:val="00406BD1"/>
    <w:rsid w:val="00426C19"/>
    <w:rsid w:val="00450FD9"/>
    <w:rsid w:val="00453CE0"/>
    <w:rsid w:val="00456226"/>
    <w:rsid w:val="00470BBB"/>
    <w:rsid w:val="0047697A"/>
    <w:rsid w:val="0048611E"/>
    <w:rsid w:val="00493442"/>
    <w:rsid w:val="004A6348"/>
    <w:rsid w:val="004B6929"/>
    <w:rsid w:val="004F3C52"/>
    <w:rsid w:val="00510A1E"/>
    <w:rsid w:val="00561465"/>
    <w:rsid w:val="00570142"/>
    <w:rsid w:val="005754E3"/>
    <w:rsid w:val="005B1B6F"/>
    <w:rsid w:val="005B6CCB"/>
    <w:rsid w:val="005C54AA"/>
    <w:rsid w:val="005C7B89"/>
    <w:rsid w:val="005F7F63"/>
    <w:rsid w:val="0062788A"/>
    <w:rsid w:val="00641F8A"/>
    <w:rsid w:val="006C62DF"/>
    <w:rsid w:val="006F5104"/>
    <w:rsid w:val="00735B02"/>
    <w:rsid w:val="007657C8"/>
    <w:rsid w:val="00771E49"/>
    <w:rsid w:val="00782208"/>
    <w:rsid w:val="007C7FD7"/>
    <w:rsid w:val="007F3746"/>
    <w:rsid w:val="00833132"/>
    <w:rsid w:val="008672EA"/>
    <w:rsid w:val="00891680"/>
    <w:rsid w:val="008A0B5F"/>
    <w:rsid w:val="008B5402"/>
    <w:rsid w:val="0090527E"/>
    <w:rsid w:val="00905BB7"/>
    <w:rsid w:val="00912DA4"/>
    <w:rsid w:val="009302B8"/>
    <w:rsid w:val="009305C6"/>
    <w:rsid w:val="0093427D"/>
    <w:rsid w:val="00937FDF"/>
    <w:rsid w:val="00946AD9"/>
    <w:rsid w:val="00961EF2"/>
    <w:rsid w:val="00982F3D"/>
    <w:rsid w:val="00A8079E"/>
    <w:rsid w:val="00A92D66"/>
    <w:rsid w:val="00AA4262"/>
    <w:rsid w:val="00AB5A90"/>
    <w:rsid w:val="00AE4AA5"/>
    <w:rsid w:val="00AE7FA9"/>
    <w:rsid w:val="00B147EB"/>
    <w:rsid w:val="00B80FAB"/>
    <w:rsid w:val="00B81C88"/>
    <w:rsid w:val="00B921BD"/>
    <w:rsid w:val="00BA5C83"/>
    <w:rsid w:val="00BC4577"/>
    <w:rsid w:val="00BC6A7D"/>
    <w:rsid w:val="00BD719F"/>
    <w:rsid w:val="00BE0041"/>
    <w:rsid w:val="00C177A5"/>
    <w:rsid w:val="00C6153C"/>
    <w:rsid w:val="00C90736"/>
    <w:rsid w:val="00CC7D74"/>
    <w:rsid w:val="00CD646D"/>
    <w:rsid w:val="00D02F97"/>
    <w:rsid w:val="00D17F4F"/>
    <w:rsid w:val="00D45530"/>
    <w:rsid w:val="00D621EE"/>
    <w:rsid w:val="00DA5DA7"/>
    <w:rsid w:val="00DE3935"/>
    <w:rsid w:val="00E1622A"/>
    <w:rsid w:val="00E2325B"/>
    <w:rsid w:val="00E24075"/>
    <w:rsid w:val="00E35F38"/>
    <w:rsid w:val="00E46F27"/>
    <w:rsid w:val="00E509CC"/>
    <w:rsid w:val="00E71A04"/>
    <w:rsid w:val="00E96342"/>
    <w:rsid w:val="00EB64D9"/>
    <w:rsid w:val="00F000B1"/>
    <w:rsid w:val="00F012D3"/>
    <w:rsid w:val="00F10D04"/>
    <w:rsid w:val="00F3581E"/>
    <w:rsid w:val="00F572CB"/>
    <w:rsid w:val="00F621AF"/>
    <w:rsid w:val="00F74EE7"/>
    <w:rsid w:val="00F82447"/>
    <w:rsid w:val="00FB2F32"/>
    <w:rsid w:val="00FE0F1F"/>
    <w:rsid w:val="00FF47E0"/>
    <w:rsid w:val="00FF61F3"/>
    <w:rsid w:val="0D17532C"/>
    <w:rsid w:val="102A7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3"/>
    <w:semiHidden/>
    <w:unhideWhenUsed/>
    <w:uiPriority w:val="99"/>
    <w:pPr>
      <w:snapToGrid w:val="0"/>
      <w:jc w:val="left"/>
    </w:pPr>
    <w:rPr>
      <w:rFonts w:ascii="Calibri" w:hAnsi="Calibri" w:eastAsia="宋体" w:cs="Times New Roman"/>
      <w:sz w:val="18"/>
      <w:szCs w:val="18"/>
    </w:rPr>
  </w:style>
  <w:style w:type="character" w:styleId="8">
    <w:name w:val="footnote reference"/>
    <w:semiHidden/>
    <w:unhideWhenUsed/>
    <w:uiPriority w:val="99"/>
    <w:rPr>
      <w:vertAlign w:val="superscript"/>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批注框文本 字符"/>
    <w:basedOn w:val="7"/>
    <w:link w:val="2"/>
    <w:semiHidden/>
    <w:uiPriority w:val="99"/>
    <w:rPr>
      <w:sz w:val="18"/>
      <w:szCs w:val="18"/>
    </w:rPr>
  </w:style>
  <w:style w:type="paragraph" w:styleId="12">
    <w:name w:val="List Paragraph"/>
    <w:basedOn w:val="1"/>
    <w:qFormat/>
    <w:uiPriority w:val="34"/>
    <w:pPr>
      <w:ind w:firstLine="420" w:firstLineChars="200"/>
    </w:pPr>
  </w:style>
  <w:style w:type="character" w:customStyle="1" w:styleId="13">
    <w:name w:val="脚注文本 字符"/>
    <w:basedOn w:val="7"/>
    <w:link w:val="5"/>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27626-E530-4A93-A0F4-89203DBC4AC5}">
  <ds:schemaRefs/>
</ds:datastoreItem>
</file>

<file path=docProps/app.xml><?xml version="1.0" encoding="utf-8"?>
<Properties xmlns="http://schemas.openxmlformats.org/officeDocument/2006/extended-properties" xmlns:vt="http://schemas.openxmlformats.org/officeDocument/2006/docPropsVTypes">
  <Template>Normal</Template>
  <Pages>11</Pages>
  <Words>537</Words>
  <Characters>3067</Characters>
  <Lines>25</Lines>
  <Paragraphs>7</Paragraphs>
  <TotalTime>469</TotalTime>
  <ScaleCrop>false</ScaleCrop>
  <LinksUpToDate>false</LinksUpToDate>
  <CharactersWithSpaces>3597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cp:lastModifiedBy>
  <cp:lastPrinted>2019-02-19T07:03:00Z</cp:lastPrinted>
  <dcterms:modified xsi:type="dcterms:W3CDTF">2023-11-14T03:34:13Z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066B89E8266E48F19E3946D1BEC93A04_13</vt:lpwstr>
  </property>
</Properties>
</file>