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hint="eastAsia"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ascii="宋体" w:hAnsi="宋体" w:eastAsia="宋体"/>
          <w:b/>
          <w:sz w:val="44"/>
          <w:szCs w:val="44"/>
        </w:rPr>
      </w:pPr>
      <w:r>
        <w:rPr>
          <w:rFonts w:hint="eastAsia" w:ascii="宋体" w:hAnsi="宋体" w:eastAsia="宋体"/>
          <w:b/>
          <w:sz w:val="44"/>
          <w:szCs w:val="44"/>
        </w:rPr>
        <w:t>保定市徐水区</w:t>
      </w:r>
      <w:r>
        <w:rPr>
          <w:rFonts w:hint="eastAsia" w:ascii="宋体" w:hAnsi="宋体" w:eastAsia="宋体"/>
          <w:b/>
          <w:sz w:val="44"/>
          <w:szCs w:val="44"/>
          <w:lang w:eastAsia="zh-CN"/>
        </w:rPr>
        <w:t>市场监督管理局事业</w:t>
      </w:r>
      <w:r>
        <w:rPr>
          <w:rFonts w:ascii="宋体" w:hAnsi="宋体" w:eastAsia="宋体"/>
          <w:b/>
          <w:sz w:val="44"/>
          <w:szCs w:val="44"/>
        </w:rPr>
        <w:t>2021年</w:t>
      </w:r>
      <w:r>
        <w:rPr>
          <w:rFonts w:hint="eastAsia" w:ascii="宋体" w:hAnsi="宋体" w:eastAsia="宋体"/>
          <w:b/>
          <w:sz w:val="44"/>
          <w:szCs w:val="44"/>
          <w:lang w:eastAsia="zh-CN"/>
        </w:rPr>
        <w:t>单位</w:t>
      </w:r>
      <w:r>
        <w:rPr>
          <w:rFonts w:ascii="宋体" w:hAnsi="宋体" w:eastAsia="宋体"/>
          <w:b/>
          <w:sz w:val="44"/>
          <w:szCs w:val="44"/>
        </w:rPr>
        <w:t>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eastAsia="zh-CN"/>
        </w:rPr>
        <w:t>《中华人民共和国预算法》</w:t>
      </w:r>
      <w:bookmarkStart w:id="0" w:name="_GoBack"/>
      <w:bookmarkEnd w:id="0"/>
      <w:r>
        <w:rPr>
          <w:rFonts w:hint="eastAsia" w:ascii="仿宋" w:hAnsi="仿宋" w:eastAsia="仿宋"/>
          <w:sz w:val="32"/>
          <w:szCs w:val="32"/>
        </w:rPr>
        <w:t>、《地方预决算公开操作规程》等文件规定，现将我</w:t>
      </w:r>
      <w:r>
        <w:rPr>
          <w:rFonts w:hint="eastAsia" w:ascii="仿宋" w:hAnsi="仿宋" w:eastAsia="仿宋"/>
          <w:sz w:val="32"/>
          <w:szCs w:val="32"/>
          <w:lang w:eastAsia="zh-CN"/>
        </w:rPr>
        <w:t>单位</w:t>
      </w:r>
      <w:r>
        <w:rPr>
          <w:rFonts w:hint="eastAsia" w:ascii="仿宋" w:hAnsi="仿宋" w:eastAsia="仿宋"/>
          <w:sz w:val="32"/>
          <w:szCs w:val="32"/>
        </w:rPr>
        <w:t>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lang w:eastAsia="zh-CN"/>
        </w:rPr>
        <w:t>单位</w:t>
      </w:r>
      <w:r>
        <w:rPr>
          <w:rFonts w:ascii="方正小标宋_GBK" w:eastAsia="方正小标宋_GBK"/>
          <w:sz w:val="44"/>
        </w:rPr>
        <w:t>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w:t>
      </w:r>
      <w:r>
        <w:rPr>
          <w:rFonts w:hint="eastAsia" w:ascii="仿宋" w:hAnsi="仿宋" w:eastAsia="仿宋"/>
          <w:b/>
          <w:sz w:val="32"/>
          <w:szCs w:val="32"/>
          <w:lang w:eastAsia="zh-CN"/>
        </w:rPr>
        <w:t>单位</w:t>
      </w:r>
      <w:r>
        <w:rPr>
          <w:rFonts w:hint="eastAsia" w:ascii="仿宋" w:hAnsi="仿宋" w:eastAsia="仿宋"/>
          <w:b/>
          <w:sz w:val="32"/>
          <w:szCs w:val="32"/>
        </w:rPr>
        <w:t>职责</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根据《保定市徐水区市场监督管理局职能配置、内设机构和人员编制规定》， 保定市徐水区市场监督管理局的主要职责是：</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保定市徐水区市场监督管理局（简称区市场监督管理局）是区政府工作</w:t>
      </w:r>
      <w:r>
        <w:rPr>
          <w:rFonts w:hint="eastAsia" w:ascii="仿宋" w:hAnsi="仿宋" w:eastAsia="仿宋" w:cs="仿宋"/>
          <w:sz w:val="32"/>
          <w:szCs w:val="32"/>
          <w:lang w:eastAsia="zh-CN"/>
        </w:rPr>
        <w:t>单位</w:t>
      </w:r>
      <w:r>
        <w:rPr>
          <w:rFonts w:hint="eastAsia" w:ascii="仿宋" w:hAnsi="仿宋" w:eastAsia="仿宋" w:cs="仿宋"/>
          <w:sz w:val="32"/>
          <w:szCs w:val="32"/>
        </w:rPr>
        <w:t>，为正科级，加挂保定市徐水区知识产权局牌子。</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贯彻落实党中央、省委、市委、区委关于市场监督管理工作的方针政策和决策部署，坚持和加强党对市场监督管理工作的集中统一领导。主要职责是：</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负责全区市场综合监督管理。贯彻执行国家和省、市、区有关市场监督管理的法律法规和方针政策；组织实施质量强区战略、食品安全战略、标准化战略、知识产权战略；落实市市场监督管理局、市政府食品安全委员会办公室工作部署；拟订全区市场监督管理方面的政策、规定和规划，并组织实施；规范和维护市场秩序，营造诚实守信、公平竞争的市场环境。</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负责市场主体信用体系建设。拟订市场主体信用监督管理的措施办法。组织开展对市场主体登记注册行为的监督检查工作。组织开展市场主体信用分类管理和信息公示工作。组织指导企业经营异常名录和严重违法失信企业名单清理工作，承担市场主体监督管理信息和公示信息归集共享、联合惩戒的协调联系工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负责监督管理市场秩序。负责组织开展市场监管综合执法工作，推进全区市场监管综合执法队伍的整合和建设，推动实行统一的市场监管。负责组织开展规范市场监管行政执法行为。依法监督管理全区市场交易、网络商品交易及有关服务的行为。组织查处重大违法案件。组织指导查处价格收费违法违规、不正当竞争、违法直销、传销、侵犯商标专利知识产权和制售假冒伪劣行为。指导全区广告业发展，监督管理广告活动。组织开展查处无照生产经营和相关无证生产经营行为。</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四）负责全区消费者权益保护。负责处理与市场监督管理相关的咨询、投诉、举报，组织开展有关服务领域消费维权工作；依法查处侵害消费者权益的违法行为；建立完善消费者权益保护网络体系，保护消费者、经营者合法权益。指导区消费者协会开展消费维权工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（五）负责反垄断统一执法。组织推进竞争政策实施，指导实施公平竞争审查制度。依法对经营者集中行为进行反垄断审查，负责垄断协议、滥用市场支配地位和滥用行政权力排除、限制竞争等反垄断执法工作。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（六）负责全区宏观质量管理。拟订并组织实施全区质量发展的制度措施。会同有关</w:t>
      </w:r>
      <w:r>
        <w:rPr>
          <w:rFonts w:hint="eastAsia" w:ascii="仿宋" w:hAnsi="仿宋" w:eastAsia="仿宋" w:cs="仿宋"/>
          <w:sz w:val="32"/>
          <w:szCs w:val="32"/>
          <w:lang w:eastAsia="zh-CN"/>
        </w:rPr>
        <w:t>单位</w:t>
      </w:r>
      <w:r>
        <w:rPr>
          <w:rFonts w:hint="eastAsia" w:ascii="仿宋" w:hAnsi="仿宋" w:eastAsia="仿宋" w:cs="仿宋"/>
          <w:sz w:val="32"/>
          <w:szCs w:val="32"/>
        </w:rPr>
        <w:t>组织实施重大工程设备质量监理制度，按职责范围组织产品质量事故调查，组织实施缺陷产品召回制度，监督管理产品防伪工作。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mc:AlternateContent>
          <mc:Choice Requires="wps">
            <w:drawing>
              <wp:anchor distT="0" distB="0" distL="0" distR="0" simplePos="0" relativeHeight="251659264" behindDoc="0" locked="0" layoutInCell="1" allowOverlap="1">
                <wp:simplePos x="0" y="0"/>
                <wp:positionH relativeFrom="column">
                  <wp:posOffset>2108835</wp:posOffset>
                </wp:positionH>
                <wp:positionV relativeFrom="paragraph">
                  <wp:posOffset>1055370</wp:posOffset>
                </wp:positionV>
                <wp:extent cx="276225" cy="285750"/>
                <wp:effectExtent l="0" t="0" r="9525" b="0"/>
                <wp:wrapSquare wrapText="bothSides"/>
                <wp:docPr id="1" name="文本框 1"/>
                <wp:cNvGraphicFramePr/>
                <a:graphic xmlns:a="http://schemas.openxmlformats.org/drawingml/2006/main">
                  <a:graphicData uri="http://schemas.microsoft.com/office/word/2010/wordprocessingShape">
                    <wps:wsp>
                      <wps:cNvSpPr txBox="1"/>
                      <wps:spPr>
                        <a:xfrm>
                          <a:off x="0" y="0"/>
                          <a:ext cx="276225" cy="285750"/>
                        </a:xfrm>
                        <a:prstGeom prst="rect">
                          <a:avLst/>
                        </a:prstGeom>
                        <a:solidFill>
                          <a:srgbClr val="FFFFFF"/>
                        </a:solidFill>
                        <a:ln>
                          <a:noFill/>
                        </a:ln>
                      </wps:spPr>
                      <wps:txbx>
                        <w:txbxContent>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pPr>
                          </w:p>
                        </w:txbxContent>
                      </wps:txbx>
                      <wps:bodyPr upright="1"/>
                    </wps:wsp>
                  </a:graphicData>
                </a:graphic>
              </wp:anchor>
            </w:drawing>
          </mc:Choice>
          <mc:Fallback>
            <w:pict>
              <v:shape id="_x0000_s1026" o:spid="_x0000_s1026" o:spt="202" type="#_x0000_t202" style="position:absolute;left:0pt;margin-left:166.05pt;margin-top:83.1pt;height:22.5pt;width:21.75pt;mso-wrap-distance-bottom:0pt;mso-wrap-distance-left:0pt;mso-wrap-distance-right:0pt;mso-wrap-distance-top:0pt;z-index:251659264;mso-width-relative:page;mso-height-relative:page;" fillcolor="#FFFFFF" filled="t" stroked="f" coordsize="21600,21600" o:gfxdata="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ohXzfYAAAACwEAAA8AAAAAAAAAAQAgAAAAIgAAAGRycy9kb3ducmV2Lnht&#10;bFBLAQIUABQAAAAIAIdO4kCRa4V5wAEAAHYDAAAOAAAAAAAAAAEAIAAAACcBAABkcnMvZTJvRG9j&#10;LnhtbFBLBQYAAAAABgAGAFkBAABZBQAAAAA=&#10;">
                <v:fill on="t" focussize="0,0"/>
                <v:stroke on="f"/>
                <v:imagedata o:title=""/>
                <o:lock v:ext="edit" aspectratio="f"/>
                <v:textbox>
                  <w:txbxContent>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pPr>
                    </w:p>
                  </w:txbxContent>
                </v:textbox>
                <w10:wrap type="square"/>
              </v:shape>
            </w:pict>
          </mc:Fallback>
        </mc:AlternateContent>
      </w:r>
      <w:r>
        <w:rPr>
          <w:rFonts w:hint="eastAsia" w:ascii="仿宋" w:hAnsi="仿宋" w:eastAsia="仿宋" w:cs="仿宋"/>
          <w:sz w:val="32"/>
          <w:szCs w:val="32"/>
        </w:rPr>
        <w:t>（七）负责产品质量安全监督管理工作。组织开展辖区内产品质量监督抽查等工作；负责辖区内工业产品生产许可证管理和纤维产品质量监督检验工作；组织开展产品质量安全专项整治工作，依法查处产品质量违法行为；按分工打击假冒伪劣违法活动，组织协调辖区内有关专项打假活动。</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（八）负责全区特种设备安全监督管理。承担本行政区域内特种设备安全监察、监督工作，监督检查高耗能特种设备节能标准和锅炉环境保护标准的执行情况。</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（九）负责食品安全监督管理综合协调。承担区政府食品安全委员会日常工作；组织制定全区食品安全重大政策并组织实施。负责食品药品安全监督管理综合协调，推动健全食品安全地方党政同责和跨</w:t>
      </w:r>
      <w:r>
        <w:rPr>
          <w:rFonts w:hint="eastAsia" w:ascii="仿宋" w:hAnsi="仿宋" w:eastAsia="仿宋" w:cs="仿宋"/>
          <w:sz w:val="32"/>
          <w:szCs w:val="32"/>
          <w:lang w:eastAsia="zh-CN"/>
        </w:rPr>
        <w:t>单位</w:t>
      </w:r>
      <w:r>
        <w:rPr>
          <w:rFonts w:hint="eastAsia" w:ascii="仿宋" w:hAnsi="仿宋" w:eastAsia="仿宋" w:cs="仿宋"/>
          <w:sz w:val="32"/>
          <w:szCs w:val="32"/>
        </w:rPr>
        <w:t>协调联动机制，督促检查乡镇和有关</w:t>
      </w:r>
      <w:r>
        <w:rPr>
          <w:rFonts w:hint="eastAsia" w:ascii="仿宋" w:hAnsi="仿宋" w:eastAsia="仿宋" w:cs="仿宋"/>
          <w:sz w:val="32"/>
          <w:szCs w:val="32"/>
          <w:lang w:eastAsia="zh-CN"/>
        </w:rPr>
        <w:t>单位</w:t>
      </w:r>
      <w:r>
        <w:rPr>
          <w:rFonts w:hint="eastAsia" w:ascii="仿宋" w:hAnsi="仿宋" w:eastAsia="仿宋" w:cs="仿宋"/>
          <w:sz w:val="32"/>
          <w:szCs w:val="32"/>
        </w:rPr>
        <w:t>履行食品药品安全监督管理职责并负责考核评价。负责食品安全应急体系建设，组织指导全区重大食品安全事件应急处置和调查处理工作，建立健全食品安全信息统一公布和重要信息直报制度。</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负责食品安全监督管理。建立覆盖食品（含食品添加剂、保健食品、酒类、调味品，下同）生产、流通、消费全过程的监督检查制度和隐患排查治理机制并组织实施，防范区域性、系统性食品安全风险。推动建立食品生产经营者落实主体责任的机制，健全食品安全追溯体系。建立完善食品安全隐患排查治理机制；制定食品安全检查年度计划、重大整顿治理方案并组织落实。参与食品安全风险监测，组织开展食品安全监督抽检、核查处置和风险预警、风险交流工作。按职责分工组织实施特殊食品监督管理。组织指导重大活动食品安全保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mc:AlternateContent>
          <mc:Choice Requires="wps">
            <w:drawing>
              <wp:anchor distT="0" distB="0" distL="0" distR="0" simplePos="0" relativeHeight="251660288" behindDoc="0" locked="0" layoutInCell="1" allowOverlap="1">
                <wp:simplePos x="0" y="0"/>
                <wp:positionH relativeFrom="column">
                  <wp:posOffset>2023110</wp:posOffset>
                </wp:positionH>
                <wp:positionV relativeFrom="paragraph">
                  <wp:posOffset>649605</wp:posOffset>
                </wp:positionV>
                <wp:extent cx="276225" cy="285750"/>
                <wp:effectExtent l="0" t="0" r="9525" b="0"/>
                <wp:wrapSquare wrapText="bothSides"/>
                <wp:docPr id="4" name="文本框 4"/>
                <wp:cNvGraphicFramePr/>
                <a:graphic xmlns:a="http://schemas.openxmlformats.org/drawingml/2006/main">
                  <a:graphicData uri="http://schemas.microsoft.com/office/word/2010/wordprocessingShape">
                    <wps:wsp>
                      <wps:cNvSpPr txBox="1"/>
                      <wps:spPr>
                        <a:xfrm>
                          <a:off x="0" y="0"/>
                          <a:ext cx="276225" cy="285750"/>
                        </a:xfrm>
                        <a:prstGeom prst="rect">
                          <a:avLst/>
                        </a:prstGeom>
                        <a:solidFill>
                          <a:srgbClr val="FFFFFF"/>
                        </a:solidFill>
                        <a:ln>
                          <a:noFill/>
                        </a:ln>
                      </wps:spPr>
                      <wps:txbx>
                        <w:txbxContent>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pPr>
                          </w:p>
                        </w:txbxContent>
                      </wps:txbx>
                      <wps:bodyPr upright="1"/>
                    </wps:wsp>
                  </a:graphicData>
                </a:graphic>
              </wp:anchor>
            </w:drawing>
          </mc:Choice>
          <mc:Fallback>
            <w:pict>
              <v:shape id="_x0000_s1026" o:spid="_x0000_s1026" o:spt="202" type="#_x0000_t202" style="position:absolute;left:0pt;margin-left:159.3pt;margin-top:51.15pt;height:22.5pt;width:21.75pt;mso-wrap-distance-bottom:0pt;mso-wrap-distance-left:0pt;mso-wrap-distance-right:0pt;mso-wrap-distance-top:0pt;z-index:251660288;mso-width-relative:page;mso-height-relative:page;" fillcolor="#FFFFFF" filled="t" stroked="f" coordsize="21600,21600" o:gfxdata="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x4Z7TdgAAAALAQAADwAAAAAAAAABACAAAAAiAAAAZHJzL2Rvd25yZXYu&#10;eG1sUEsBAhQAFAAAAAgAh07iQJOl3UfCAQAAdgMAAA4AAAAAAAAAAQAgAAAAJwEAAGRycy9lMm9E&#10;b2MueG1sUEsFBgAAAAAGAAYAWQEAAFsFAAAAAA==&#10;">
                <v:fill on="t" focussize="0,0"/>
                <v:stroke on="f"/>
                <v:imagedata o:title=""/>
                <o:lock v:ext="edit" aspectratio="f"/>
                <v:textbox>
                  <w:txbxContent>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pPr>
                    </w:p>
                  </w:txbxContent>
                </v:textbox>
                <w10:wrap type="square"/>
              </v:shape>
            </w:pict>
          </mc:Fallback>
        </mc:AlternateContent>
      </w:r>
      <w:r>
        <w:rPr>
          <w:rFonts w:hint="eastAsia" w:ascii="仿宋" w:hAnsi="仿宋" w:eastAsia="仿宋" w:cs="仿宋"/>
          <w:sz w:val="32"/>
          <w:szCs w:val="32"/>
        </w:rPr>
        <w:t>（十一）负责药品（含中药、民族药，下同）、医疗器械和化妆品的质量管理工作。依法查处药品、医疗器械和化妆品生产环节的违法行为。贯彻执行</w:t>
      </w:r>
      <w:r>
        <w:rPr>
          <w:rFonts w:hint="eastAsia" w:ascii="仿宋" w:hAnsi="仿宋" w:eastAsia="仿宋" w:cs="仿宋"/>
          <w:sz w:val="32"/>
          <w:szCs w:val="32"/>
          <w:lang w:eastAsia="zh-CN"/>
        </w:rPr>
        <w:t>国</w:t>
      </w:r>
      <w:r>
        <w:rPr>
          <w:rFonts w:hint="eastAsia" w:ascii="仿宋" w:hAnsi="仿宋" w:eastAsia="仿宋" w:cs="仿宋"/>
          <w:sz w:val="32"/>
          <w:szCs w:val="32"/>
        </w:rPr>
        <w:t>家药品、医疗器械和化妆品法律法规。负责监督实施国家药品、医疗器械和化妆品标准和质量管理规范，组织落实分类管理制度。配合实施国家基本药物制度。组织实施中药饮片炮制规范。建立药品不良反应、医疗器械不良事件和药物滥用监测体系，并开展监测和处置工作；负责化妆品的监督管理和不良反应监测的管理。负责制定药品、医疗器械、化妆品监督管理的稽查制度并组织实施，组织查处重大违法行为；监督实施问题产品召回和处置制度。依法承担药品、医疗器械和化妆品安全应急管理工作。配合实施国家基本药物制度。</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二）负责监督管理标准化工作。配合市局依法组织制定区域内市级地方标准。宣传贯彻强制性、推荐性国家标准和行业标准、地方标准。依法协调指导和监督团体标准、企业标准制定工作。协助开展标准化合作，组织开展采用国际标准工作。</w:t>
      </w:r>
    </w:p>
    <w:p>
      <w:pPr>
        <w:spacing w:line="500" w:lineRule="exact"/>
        <w:ind w:firstLine="640" w:firstLineChars="200"/>
        <w:jc w:val="left"/>
        <w:rPr>
          <w:rFonts w:ascii="Times New Roman" w:eastAsia="方正仿宋_GBK"/>
          <w:sz w:val="28"/>
        </w:rPr>
      </w:pPr>
      <w:r>
        <w:rPr>
          <w:rFonts w:hint="eastAsia" w:ascii="仿宋" w:hAnsi="仿宋" w:eastAsia="仿宋" w:cs="仿宋"/>
          <w:sz w:val="32"/>
          <w:szCs w:val="32"/>
        </w:rPr>
        <w:t>（十三）负责计量工作。推行法定计量单位和国家计量制度，管理和监督地方计量标准和标准物质，依法管理计量器具；组织本地量值传递和比对工作，监督管理商品量、市场计量行为；组织开展能源计量、能效标识监督管理工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（十四）负责认证认可工作。依法对本辖区内实验室和检验机构进行监督管理；对认证认可相关的社会中介服务机构实施监督管理；协调和监督强制性认证和自愿认证工作，引导企业按国际惯例进行各种认证。</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五）负责保护知识产权。拟订严格保护商标、专利、原产地地理标志、集成电路布图设计等知识产权地方性法规、规章草案并监督实施。按照国家知识产权保护体系建设方案，推动建设知识产权保护体系。负责开展商标、专利执法工作，负责知识产权争议处理、维权援助和纠纷调处工作。拟订知识产权运用和规范交易的政策，促进知识产权转移转化。负责建立知识产权公共服务体系。推动商标、专利等知识产权信息的传播利用。负责知识产权宣传、人才培训工作。组织实施原产地地理标志统一认定制度。</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（十六）负责指导和监督规范行政执法行为，推动法制建设，完善行政执法与刑事司法衔接机制。</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（十七）负责全区市场监督管理科技和信息化建设、新闻宣传、对外交流与合作。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（十八）承办区委、区政府交办的其他任务。</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hint="eastAsia" w:ascii="仿宋_GB2312" w:hAnsi="仿宋" w:eastAsia="仿宋_GB2312"/>
                <w:bCs/>
                <w:sz w:val="24"/>
                <w:szCs w:val="24"/>
                <w:lang w:eastAsia="zh-CN"/>
              </w:rPr>
            </w:pPr>
            <w:r>
              <w:rPr>
                <w:rFonts w:hint="eastAsia" w:ascii="仿宋_GB2312" w:hAnsi="仿宋" w:eastAsia="仿宋_GB2312"/>
                <w:bCs/>
                <w:sz w:val="24"/>
                <w:szCs w:val="24"/>
              </w:rPr>
              <w:t>保定市徐水区市场监督管理局协会</w:t>
            </w:r>
          </w:p>
        </w:tc>
        <w:tc>
          <w:tcPr>
            <w:tcW w:w="1701" w:type="dxa"/>
            <w:vAlign w:val="center"/>
          </w:tcPr>
          <w:p>
            <w:pPr>
              <w:jc w:val="center"/>
              <w:rPr>
                <w:rFonts w:hint="eastAsia" w:ascii="仿宋_GB2312" w:hAnsi="仿宋" w:eastAsia="仿宋_GB2312"/>
                <w:bCs/>
                <w:sz w:val="24"/>
                <w:szCs w:val="24"/>
                <w:lang w:eastAsia="zh-CN"/>
              </w:rPr>
            </w:pPr>
            <w:r>
              <w:rPr>
                <w:rFonts w:hint="eastAsia" w:ascii="仿宋_GB2312" w:hAnsi="仿宋" w:eastAsia="仿宋_GB2312"/>
                <w:bCs/>
                <w:sz w:val="24"/>
                <w:szCs w:val="24"/>
                <w:lang w:eastAsia="zh-CN"/>
              </w:rPr>
              <w:t>参公</w:t>
            </w:r>
          </w:p>
        </w:tc>
        <w:tc>
          <w:tcPr>
            <w:tcW w:w="1418" w:type="dxa"/>
            <w:vAlign w:val="center"/>
          </w:tcPr>
          <w:p>
            <w:pPr>
              <w:jc w:val="center"/>
              <w:rPr>
                <w:rFonts w:hint="eastAsia" w:ascii="仿宋_GB2312" w:hAnsi="仿宋" w:eastAsia="仿宋_GB2312"/>
                <w:bCs/>
                <w:sz w:val="24"/>
                <w:szCs w:val="24"/>
                <w:lang w:eastAsia="zh-CN"/>
              </w:rPr>
            </w:pPr>
            <w:r>
              <w:rPr>
                <w:rFonts w:hint="eastAsia" w:ascii="仿宋_GB2312" w:hAnsi="仿宋" w:eastAsia="仿宋_GB2312"/>
                <w:bCs/>
                <w:sz w:val="24"/>
                <w:szCs w:val="24"/>
                <w:lang w:eastAsia="zh-CN"/>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jc w:val="center"/>
              <w:rPr>
                <w:rFonts w:hint="eastAsia" w:ascii="仿宋_GB2312" w:hAnsi="仿宋" w:eastAsia="仿宋_GB2312"/>
                <w:bCs/>
                <w:sz w:val="24"/>
                <w:szCs w:val="24"/>
                <w:lang w:eastAsia="zh-CN"/>
              </w:rPr>
            </w:pPr>
          </w:p>
        </w:tc>
        <w:tc>
          <w:tcPr>
            <w:tcW w:w="1701" w:type="dxa"/>
            <w:vAlign w:val="center"/>
          </w:tcPr>
          <w:p>
            <w:pPr>
              <w:jc w:val="center"/>
              <w:rPr>
                <w:rFonts w:hint="eastAsia" w:ascii="仿宋_GB2312" w:hAnsi="仿宋" w:eastAsia="仿宋_GB2312"/>
                <w:bCs/>
                <w:sz w:val="24"/>
                <w:szCs w:val="24"/>
                <w:lang w:eastAsia="zh-CN"/>
              </w:rPr>
            </w:pPr>
          </w:p>
        </w:tc>
        <w:tc>
          <w:tcPr>
            <w:tcW w:w="1418" w:type="dxa"/>
            <w:vAlign w:val="center"/>
          </w:tcPr>
          <w:p>
            <w:pPr>
              <w:jc w:val="center"/>
              <w:rPr>
                <w:rFonts w:hint="eastAsia" w:ascii="仿宋_GB2312" w:hAnsi="仿宋" w:eastAsia="仿宋_GB2312"/>
                <w:bCs/>
                <w:sz w:val="24"/>
                <w:szCs w:val="24"/>
                <w:lang w:eastAsia="zh-CN"/>
              </w:rPr>
            </w:pPr>
          </w:p>
        </w:tc>
        <w:tc>
          <w:tcPr>
            <w:tcW w:w="3260" w:type="dxa"/>
            <w:vAlign w:val="center"/>
          </w:tcPr>
          <w:p>
            <w:pPr>
              <w:jc w:val="center"/>
              <w:rPr>
                <w:rFonts w:ascii="仿宋_GB2312" w:hAnsi="仿宋" w:eastAsia="仿宋_GB2312"/>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hint="default" w:ascii="仿宋_GB2312" w:hAnsi="仿宋" w:eastAsia="仿宋_GB2312"/>
                <w:bCs/>
                <w:sz w:val="24"/>
                <w:szCs w:val="24"/>
                <w:lang w:val="en-US"/>
              </w:rPr>
            </w:pP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hint="eastAsia" w:ascii="仿宋_GB2312" w:hAnsi="仿宋" w:eastAsia="仿宋_GB2312"/>
                <w:bCs/>
                <w:sz w:val="24"/>
                <w:szCs w:val="24"/>
                <w:lang w:eastAsia="zh-CN"/>
              </w:rPr>
            </w:pPr>
          </w:p>
        </w:tc>
        <w:tc>
          <w:tcPr>
            <w:tcW w:w="1418" w:type="dxa"/>
            <w:vAlign w:val="center"/>
          </w:tcPr>
          <w:p>
            <w:pPr>
              <w:jc w:val="center"/>
              <w:rPr>
                <w:rFonts w:hint="eastAsia" w:ascii="仿宋_GB2312" w:hAnsi="仿宋" w:eastAsia="仿宋_GB2312"/>
                <w:bCs/>
                <w:sz w:val="24"/>
                <w:szCs w:val="24"/>
                <w:lang w:eastAsia="zh-CN"/>
              </w:rPr>
            </w:pPr>
          </w:p>
        </w:tc>
        <w:tc>
          <w:tcPr>
            <w:tcW w:w="3260" w:type="dxa"/>
            <w:vAlign w:val="center"/>
          </w:tcPr>
          <w:p>
            <w:pPr>
              <w:jc w:val="center"/>
              <w:rPr>
                <w:rFonts w:ascii="仿宋_GB2312" w:hAnsi="仿宋" w:eastAsia="仿宋_GB2312"/>
                <w:bCs/>
                <w:sz w:val="24"/>
                <w:szCs w:val="24"/>
              </w:rPr>
            </w:pP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w:t>
      </w:r>
      <w:r>
        <w:rPr>
          <w:rFonts w:hint="eastAsia" w:ascii="方正小标宋_GBK" w:eastAsia="方正小标宋_GBK"/>
          <w:sz w:val="44"/>
          <w:lang w:eastAsia="zh-CN"/>
        </w:rPr>
        <w:t>单位</w:t>
      </w:r>
      <w:r>
        <w:rPr>
          <w:rFonts w:hint="eastAsia" w:ascii="方正小标宋_GBK" w:eastAsia="方正小标宋_GBK"/>
          <w:sz w:val="44"/>
        </w:rPr>
        <w:t>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w:t>
      </w:r>
      <w:r>
        <w:rPr>
          <w:rFonts w:hint="eastAsia" w:ascii="仿宋" w:hAnsi="仿宋" w:eastAsia="仿宋"/>
          <w:sz w:val="32"/>
          <w:szCs w:val="32"/>
          <w:lang w:eastAsia="zh-CN"/>
        </w:rPr>
        <w:t>单位</w:t>
      </w:r>
      <w:r>
        <w:rPr>
          <w:rFonts w:hint="eastAsia" w:ascii="仿宋" w:hAnsi="仿宋" w:eastAsia="仿宋"/>
          <w:sz w:val="32"/>
          <w:szCs w:val="32"/>
        </w:rPr>
        <w:t>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w:t>
      </w:r>
      <w:r>
        <w:rPr>
          <w:rFonts w:hint="eastAsia" w:ascii="仿宋" w:hAnsi="仿宋" w:eastAsia="仿宋"/>
          <w:sz w:val="32"/>
          <w:szCs w:val="32"/>
          <w:lang w:eastAsia="zh-CN"/>
        </w:rPr>
        <w:t>单位</w:t>
      </w:r>
      <w:r>
        <w:rPr>
          <w:rFonts w:hint="eastAsia" w:ascii="仿宋" w:hAnsi="仿宋" w:eastAsia="仿宋"/>
          <w:sz w:val="32"/>
          <w:szCs w:val="32"/>
        </w:rPr>
        <w:t>及所属事业单位的收支包含在</w:t>
      </w:r>
      <w:r>
        <w:rPr>
          <w:rFonts w:hint="eastAsia" w:ascii="仿宋" w:hAnsi="仿宋" w:eastAsia="仿宋"/>
          <w:sz w:val="32"/>
          <w:szCs w:val="32"/>
          <w:lang w:eastAsia="zh-CN"/>
        </w:rPr>
        <w:t>单位</w:t>
      </w:r>
      <w:r>
        <w:rPr>
          <w:rFonts w:hint="eastAsia" w:ascii="仿宋" w:hAnsi="仿宋" w:eastAsia="仿宋"/>
          <w:sz w:val="32"/>
          <w:szCs w:val="32"/>
        </w:rPr>
        <w:t>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hint="default" w:ascii="仿宋" w:hAnsi="仿宋" w:eastAsia="仿宋"/>
          <w:sz w:val="32"/>
          <w:szCs w:val="32"/>
          <w:lang w:val="en-US"/>
        </w:rPr>
        <w:t>2021</w:t>
      </w:r>
      <w:r>
        <w:rPr>
          <w:rFonts w:ascii="仿宋" w:hAnsi="仿宋" w:eastAsia="仿宋"/>
          <w:sz w:val="32"/>
          <w:szCs w:val="32"/>
        </w:rPr>
        <w:t>年预算收入为</w:t>
      </w:r>
      <w:r>
        <w:rPr>
          <w:rFonts w:hint="default" w:ascii="仿宋" w:hAnsi="仿宋" w:eastAsia="仿宋"/>
          <w:sz w:val="32"/>
          <w:szCs w:val="32"/>
          <w:lang w:val="en-US"/>
        </w:rPr>
        <w:t>901.75</w:t>
      </w:r>
      <w:r>
        <w:rPr>
          <w:rFonts w:ascii="仿宋" w:hAnsi="仿宋" w:eastAsia="仿宋"/>
          <w:sz w:val="32"/>
          <w:szCs w:val="32"/>
        </w:rPr>
        <w:t>万元,其中：一般公共预算收入</w:t>
      </w:r>
      <w:r>
        <w:rPr>
          <w:rFonts w:hint="default" w:ascii="仿宋" w:hAnsi="仿宋" w:eastAsia="仿宋"/>
          <w:sz w:val="32"/>
          <w:szCs w:val="32"/>
          <w:lang w:val="en-US"/>
        </w:rPr>
        <w:t>901.75</w:t>
      </w:r>
      <w:r>
        <w:rPr>
          <w:rFonts w:ascii="仿宋" w:hAnsi="仿宋" w:eastAsia="仿宋"/>
          <w:sz w:val="32"/>
          <w:szCs w:val="32"/>
        </w:rPr>
        <w:t>万元，基金预算收入</w:t>
      </w:r>
      <w:r>
        <w:rPr>
          <w:rFonts w:hint="default" w:ascii="仿宋" w:hAnsi="仿宋" w:eastAsia="仿宋"/>
          <w:sz w:val="32"/>
          <w:szCs w:val="32"/>
          <w:lang w:val="en-US"/>
        </w:rPr>
        <w:t>0</w:t>
      </w:r>
      <w:r>
        <w:rPr>
          <w:rFonts w:ascii="仿宋" w:hAnsi="仿宋" w:eastAsia="仿宋"/>
          <w:sz w:val="32"/>
          <w:szCs w:val="32"/>
        </w:rPr>
        <w:t>万元，财政专户收入</w:t>
      </w:r>
      <w:r>
        <w:rPr>
          <w:rFonts w:hint="default" w:ascii="仿宋" w:hAnsi="仿宋" w:eastAsia="仿宋"/>
          <w:sz w:val="32"/>
          <w:szCs w:val="32"/>
          <w:lang w:val="en-US"/>
        </w:rPr>
        <w:t>0</w:t>
      </w:r>
      <w:r>
        <w:rPr>
          <w:rFonts w:ascii="仿宋" w:hAnsi="仿宋" w:eastAsia="仿宋"/>
          <w:sz w:val="32"/>
          <w:szCs w:val="32"/>
        </w:rPr>
        <w:t>万元，其他来源收入</w:t>
      </w:r>
      <w:r>
        <w:rPr>
          <w:rFonts w:hint="default" w:ascii="仿宋" w:hAnsi="仿宋" w:eastAsia="仿宋"/>
          <w:sz w:val="32"/>
          <w:szCs w:val="32"/>
          <w:lang w:val="en-US"/>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default" w:ascii="仿宋" w:hAnsi="仿宋" w:eastAsia="仿宋"/>
          <w:sz w:val="32"/>
          <w:szCs w:val="32"/>
          <w:lang w:val="en-US"/>
        </w:rPr>
        <w:t>1</w:t>
      </w:r>
      <w:r>
        <w:rPr>
          <w:rFonts w:ascii="仿宋" w:hAnsi="仿宋" w:eastAsia="仿宋"/>
          <w:sz w:val="32"/>
          <w:szCs w:val="32"/>
        </w:rPr>
        <w:t>年</w:t>
      </w:r>
      <w:r>
        <w:rPr>
          <w:rFonts w:hint="eastAsia" w:ascii="仿宋" w:hAnsi="仿宋" w:eastAsia="仿宋"/>
          <w:sz w:val="32"/>
          <w:szCs w:val="32"/>
          <w:lang w:eastAsia="zh-CN"/>
        </w:rPr>
        <w:t>单位</w:t>
      </w:r>
      <w:r>
        <w:rPr>
          <w:rFonts w:ascii="仿宋" w:hAnsi="仿宋" w:eastAsia="仿宋"/>
          <w:sz w:val="32"/>
          <w:szCs w:val="32"/>
        </w:rPr>
        <w:t>支出预算：</w:t>
      </w:r>
      <w:r>
        <w:rPr>
          <w:rFonts w:hint="default" w:ascii="仿宋" w:hAnsi="仿宋" w:eastAsia="仿宋"/>
          <w:sz w:val="32"/>
          <w:szCs w:val="32"/>
          <w:lang w:val="en-US"/>
        </w:rPr>
        <w:t>901.75</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w:t>
      </w:r>
      <w:r>
        <w:rPr>
          <w:rFonts w:hint="default" w:ascii="仿宋" w:hAnsi="仿宋" w:eastAsia="仿宋"/>
          <w:sz w:val="32"/>
          <w:szCs w:val="32"/>
          <w:lang w:val="en-US"/>
        </w:rPr>
        <w:t>559.63</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default" w:ascii="仿宋" w:hAnsi="仿宋" w:eastAsia="仿宋"/>
          <w:sz w:val="32"/>
          <w:szCs w:val="32"/>
          <w:lang w:val="en-US"/>
        </w:rPr>
        <w:t>534.9</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default" w:ascii="仿宋" w:hAnsi="仿宋" w:eastAsia="仿宋"/>
          <w:sz w:val="32"/>
          <w:szCs w:val="32"/>
          <w:lang w:val="en-US"/>
        </w:rPr>
        <w:t>24.73</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hint="default" w:ascii="仿宋" w:hAnsi="仿宋" w:eastAsia="仿宋"/>
          <w:sz w:val="32"/>
          <w:szCs w:val="32"/>
          <w:lang w:val="en-US"/>
        </w:rPr>
        <w:t>342.12</w:t>
      </w:r>
      <w:r>
        <w:rPr>
          <w:rFonts w:ascii="仿宋" w:hAnsi="仿宋" w:eastAsia="仿宋"/>
          <w:sz w:val="32"/>
          <w:szCs w:val="32"/>
        </w:rPr>
        <w:t xml:space="preserve">万元    </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hint="default" w:ascii="仿宋" w:hAnsi="仿宋" w:eastAsia="仿宋"/>
          <w:sz w:val="32"/>
          <w:szCs w:val="32"/>
          <w:lang w:val="en-US"/>
        </w:rPr>
      </w:pPr>
      <w:r>
        <w:rPr>
          <w:rFonts w:hint="eastAsia" w:ascii="仿宋" w:hAnsi="仿宋" w:eastAsia="仿宋"/>
          <w:sz w:val="32"/>
          <w:szCs w:val="32"/>
        </w:rPr>
        <w:t>本年度预算收支安排</w:t>
      </w:r>
      <w:r>
        <w:rPr>
          <w:rFonts w:hint="default" w:ascii="仿宋" w:hAnsi="仿宋" w:eastAsia="仿宋"/>
          <w:sz w:val="32"/>
          <w:szCs w:val="32"/>
          <w:lang w:val="en-US"/>
        </w:rPr>
        <w:t>901.75</w:t>
      </w:r>
      <w:r>
        <w:rPr>
          <w:rFonts w:hint="eastAsia" w:ascii="仿宋" w:hAnsi="仿宋" w:eastAsia="仿宋"/>
          <w:sz w:val="32"/>
          <w:szCs w:val="32"/>
        </w:rPr>
        <w:t>万元，较上年增加</w:t>
      </w:r>
      <w:r>
        <w:rPr>
          <w:rFonts w:hint="default" w:ascii="仿宋" w:hAnsi="仿宋" w:eastAsia="仿宋"/>
          <w:sz w:val="32"/>
          <w:szCs w:val="32"/>
          <w:lang w:val="en-US"/>
        </w:rPr>
        <w:t>0.58</w:t>
      </w:r>
      <w:r>
        <w:rPr>
          <w:rFonts w:ascii="仿宋" w:hAnsi="仿宋" w:eastAsia="仿宋"/>
          <w:sz w:val="32"/>
          <w:szCs w:val="32"/>
        </w:rPr>
        <w:t>万元。其中:</w:t>
      </w:r>
      <w:r>
        <w:rPr>
          <w:rFonts w:hint="eastAsia" w:ascii="仿宋" w:hAnsi="仿宋" w:eastAsia="仿宋"/>
          <w:sz w:val="32"/>
          <w:szCs w:val="32"/>
          <w:lang w:eastAsia="zh-CN"/>
        </w:rPr>
        <w:t>项目支出增加</w:t>
      </w:r>
      <w:r>
        <w:rPr>
          <w:rFonts w:hint="default" w:ascii="仿宋" w:hAnsi="仿宋" w:eastAsia="仿宋"/>
          <w:sz w:val="32"/>
          <w:szCs w:val="32"/>
          <w:lang w:val="en-US" w:eastAsia="zh-CN"/>
        </w:rPr>
        <w:t>0.58</w:t>
      </w:r>
      <w:r>
        <w:rPr>
          <w:rFonts w:hint="eastAsia" w:ascii="仿宋" w:hAnsi="仿宋" w:eastAsia="仿宋"/>
          <w:sz w:val="32"/>
          <w:szCs w:val="32"/>
          <w:lang w:val="en-US" w:eastAsia="zh-CN"/>
        </w:rPr>
        <w:t>万元，</w:t>
      </w:r>
      <w:r>
        <w:rPr>
          <w:rFonts w:ascii="仿宋" w:hAnsi="仿宋" w:eastAsia="仿宋"/>
          <w:sz w:val="32"/>
          <w:szCs w:val="32"/>
        </w:rPr>
        <w:t>主要原因是</w:t>
      </w:r>
      <w:r>
        <w:rPr>
          <w:rFonts w:hint="eastAsia" w:ascii="仿宋" w:hAnsi="仿宋" w:eastAsia="仿宋"/>
          <w:sz w:val="32"/>
          <w:szCs w:val="32"/>
          <w:lang w:eastAsia="zh-CN"/>
        </w:rPr>
        <w:t>市场执法项目增多，对辖区内食品、药品等产品抽检、检验批次增加。</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default" w:ascii="仿宋" w:hAnsi="仿宋" w:eastAsia="仿宋"/>
          <w:sz w:val="32"/>
          <w:szCs w:val="32"/>
          <w:lang w:val="en-US"/>
        </w:rPr>
        <w:t>1</w:t>
      </w:r>
      <w:r>
        <w:rPr>
          <w:rFonts w:ascii="仿宋" w:hAnsi="仿宋" w:eastAsia="仿宋"/>
          <w:sz w:val="32"/>
          <w:szCs w:val="32"/>
        </w:rPr>
        <w:t>年我</w:t>
      </w:r>
      <w:r>
        <w:rPr>
          <w:rFonts w:hint="eastAsia" w:ascii="仿宋" w:hAnsi="仿宋" w:eastAsia="仿宋"/>
          <w:sz w:val="32"/>
          <w:szCs w:val="32"/>
          <w:lang w:eastAsia="zh-CN"/>
        </w:rPr>
        <w:t>单位</w:t>
      </w:r>
      <w:r>
        <w:rPr>
          <w:rFonts w:ascii="仿宋" w:hAnsi="仿宋" w:eastAsia="仿宋"/>
          <w:sz w:val="32"/>
          <w:szCs w:val="32"/>
        </w:rPr>
        <w:t>机关运行经费安排</w:t>
      </w:r>
      <w:r>
        <w:rPr>
          <w:rFonts w:hint="default" w:ascii="仿宋" w:hAnsi="仿宋" w:eastAsia="仿宋"/>
          <w:sz w:val="32"/>
          <w:szCs w:val="32"/>
          <w:lang w:val="en-US"/>
        </w:rPr>
        <w:t>22</w:t>
      </w:r>
      <w:r>
        <w:rPr>
          <w:rFonts w:ascii="仿宋" w:hAnsi="仿宋" w:eastAsia="仿宋"/>
          <w:sz w:val="32"/>
          <w:szCs w:val="32"/>
        </w:rPr>
        <w:t>元，其中办公费</w:t>
      </w:r>
      <w:r>
        <w:rPr>
          <w:rFonts w:hint="default" w:ascii="仿宋" w:hAnsi="仿宋" w:eastAsia="仿宋"/>
          <w:sz w:val="32"/>
          <w:szCs w:val="32"/>
          <w:lang w:val="en-US"/>
        </w:rPr>
        <w:t>13.32</w:t>
      </w:r>
      <w:r>
        <w:rPr>
          <w:rFonts w:ascii="仿宋" w:hAnsi="仿宋" w:eastAsia="仿宋"/>
          <w:sz w:val="32"/>
          <w:szCs w:val="32"/>
        </w:rPr>
        <w:t>万元，工会经费、福利费</w:t>
      </w:r>
      <w:r>
        <w:rPr>
          <w:rFonts w:hint="default" w:ascii="仿宋" w:hAnsi="仿宋" w:eastAsia="仿宋"/>
          <w:sz w:val="32"/>
          <w:szCs w:val="32"/>
          <w:lang w:val="en-US"/>
        </w:rPr>
        <w:t>8.41</w:t>
      </w:r>
      <w:r>
        <w:rPr>
          <w:rFonts w:ascii="仿宋" w:hAnsi="仿宋" w:eastAsia="仿宋"/>
          <w:sz w:val="32"/>
          <w:szCs w:val="32"/>
        </w:rPr>
        <w:t>万元。</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9515" w:type="dxa"/>
        <w:tblInd w:w="0" w:type="dxa"/>
        <w:tblLayout w:type="fixed"/>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9515" w:type="dxa"/>
            <w:tcBorders>
              <w:top w:val="nil"/>
              <w:left w:val="nil"/>
              <w:bottom w:val="nil"/>
              <w:right w:val="nil"/>
            </w:tcBorders>
            <w:shd w:val="clear" w:color="auto" w:fill="auto"/>
            <w:noWrap/>
            <w:vAlign w:val="center"/>
          </w:tcPr>
          <w:tbl>
            <w:tblPr>
              <w:tblStyle w:val="5"/>
              <w:tblW w:w="8090" w:type="dxa"/>
              <w:jc w:val="center"/>
              <w:tblLayout w:type="fixed"/>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w:t>
                  </w:r>
                  <w:r>
                    <w:rPr>
                      <w:rFonts w:hint="default" w:ascii="仿宋_GB2312" w:hAnsi="宋体" w:eastAsia="仿宋_GB2312" w:cs="宋体"/>
                      <w:b/>
                      <w:kern w:val="0"/>
                      <w:sz w:val="24"/>
                      <w:szCs w:val="24"/>
                      <w:lang w:val="en-US"/>
                    </w:rPr>
                    <w:t>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w:t>
                  </w:r>
                  <w:r>
                    <w:rPr>
                      <w:rFonts w:hint="default" w:ascii="仿宋_GB2312" w:hAnsi="宋体" w:eastAsia="仿宋_GB2312" w:cs="宋体"/>
                      <w:b/>
                      <w:kern w:val="0"/>
                      <w:sz w:val="24"/>
                      <w:szCs w:val="24"/>
                      <w:lang w:val="en-US"/>
                    </w:rPr>
                    <w:t>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无</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无</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无</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lang w:eastAsia="zh-CN"/>
                    </w:rPr>
                    <w:t>无</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lang w:eastAsia="zh-CN"/>
        </w:rPr>
        <w:t>单位</w:t>
      </w:r>
      <w:r>
        <w:rPr>
          <w:rFonts w:hint="eastAsia" w:ascii="方正小标宋_GBK" w:eastAsia="方正小标宋_GBK"/>
          <w:sz w:val="44"/>
        </w:rPr>
        <w:t>整体</w:t>
      </w:r>
      <w:r>
        <w:rPr>
          <w:rFonts w:ascii="方正小标宋_GBK" w:eastAsia="方正小标宋_GBK"/>
          <w:sz w:val="44"/>
        </w:rPr>
        <w:t>绩效目标</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b w:val="0"/>
          <w:bCs w:val="0"/>
          <w:i w:val="0"/>
          <w:iCs w:val="0"/>
          <w:caps w:val="0"/>
          <w:color w:val="000000"/>
          <w:spacing w:val="0"/>
          <w:sz w:val="32"/>
          <w:szCs w:val="32"/>
        </w:rPr>
        <w:t>紧紧围绕全区中心工作，根据区委重要部署和市场监督管理局职责，认真做好本辖区内市场监督管理、食品药品监督工作、组织开展食品药品专项抽检，食用农产品、保健品、化妆品的监督，依法查处市场违法行为，按分工打击假冒伪劣违法活动，组织协调辖区内有关专项打假活动。贯彻执行《中华人民共和国公司法》、《中华人民共和国无照经营查处取缔办法》、《中华人民共和国产品质量法》、《中华人民共和国食品安全法》和其它有关的法律、法规、条例等。</w:t>
      </w: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(一)工商管理事务</w:t>
      </w:r>
    </w:p>
    <w:p>
      <w:pPr>
        <w:keepNext w:val="0"/>
        <w:keepLines w:val="0"/>
        <w:widowControl/>
        <w:suppressLineNumbers w:val="0"/>
        <w:spacing w:before="0" w:beforeAutospacing="0" w:after="0" w:afterAutospacing="0" w:line="15" w:lineRule="atLeast"/>
        <w:ind w:left="0" w:right="0" w:firstLine="640" w:firstLineChars="200"/>
        <w:jc w:val="left"/>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1、市场监督管理。落实国家局、省局、市局抽检计划，进一步提升我区食品药品安全。产品质量抽查企业数量大于90家。</w:t>
      </w:r>
    </w:p>
    <w:p>
      <w:pPr>
        <w:keepNext w:val="0"/>
        <w:keepLines w:val="0"/>
        <w:widowControl/>
        <w:suppressLineNumbers w:val="0"/>
        <w:spacing w:before="0" w:beforeAutospacing="0" w:after="0" w:afterAutospacing="0" w:line="15" w:lineRule="atLeast"/>
        <w:ind w:left="0" w:right="0" w:firstLine="640" w:firstLineChars="200"/>
        <w:jc w:val="left"/>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2、流通领域商品质量监督管理。通过打假办案，依法查处区域内市场违法行为，对区域内制酒业、驴肉制作、工程车市场按分工打击假冒伪劣违法活动，组织协调辖区内有关专项打假活动的单位，确保完成全年打假办案任务。加大食用农产品、预包装食品等市场巡查力度。提高我区整体食品安全。打造良好营商环境。双随机抽查完成率100%</w:t>
      </w:r>
    </w:p>
    <w:p>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（二）食品安全管理</w:t>
      </w:r>
    </w:p>
    <w:p>
      <w:pPr>
        <w:keepNext w:val="0"/>
        <w:keepLines w:val="0"/>
        <w:widowControl/>
        <w:suppressLineNumbers w:val="0"/>
        <w:spacing w:before="0" w:beforeAutospacing="0" w:after="0" w:afterAutospacing="0" w:line="15" w:lineRule="atLeast"/>
        <w:ind w:left="0" w:right="0" w:firstLine="640" w:firstLineChars="200"/>
        <w:jc w:val="left"/>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食品安全监管。快检实验室日常运转经费，保障农村集贸市场食品快检率，保障全区农村食品安全。食品检测批次大于2774次。</w:t>
      </w:r>
    </w:p>
    <w:p>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（四）药品安全管理</w:t>
      </w:r>
    </w:p>
    <w:p>
      <w:pPr>
        <w:keepNext w:val="0"/>
        <w:keepLines w:val="0"/>
        <w:widowControl/>
        <w:suppressLineNumbers w:val="0"/>
        <w:spacing w:before="0" w:beforeAutospacing="0" w:after="0" w:afterAutospacing="0" w:line="15" w:lineRule="atLeast"/>
        <w:ind w:left="0" w:right="0" w:firstLine="640" w:firstLineChars="200"/>
        <w:jc w:val="left"/>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药品医疗器械监管。提高全区食品安全，保证全覆盖无死角，在各村设立农村协管员，进一步提升我区食品安全。药品用药安全知识普及率大于90%。</w:t>
      </w:r>
    </w:p>
    <w:p>
      <w:pPr>
        <w:spacing w:line="360" w:lineRule="auto"/>
        <w:ind w:firstLine="640" w:firstLineChars="200"/>
        <w:rPr>
          <w:rFonts w:hint="eastAsia" w:ascii="仿宋" w:hAnsi="仿宋" w:eastAsia="仿宋" w:cs="仿宋"/>
          <w:sz w:val="32"/>
          <w:szCs w:val="32"/>
        </w:rPr>
        <w:sectPr>
          <w:pgSz w:w="11907" w:h="16839"/>
          <w:pgMar w:top="1984" w:right="1304" w:bottom="1134" w:left="1304" w:header="851" w:footer="992" w:gutter="0"/>
          <w:cols w:space="425" w:num="1"/>
          <w:docGrid w:type="lines" w:linePitch="312" w:charSpace="0"/>
        </w:sectPr>
      </w:pPr>
    </w:p>
    <w:p/>
    <w:p>
      <w:pPr>
        <w:spacing w:line="360" w:lineRule="auto"/>
        <w:ind w:firstLine="880" w:firstLineChars="200"/>
        <w:rPr>
          <w:rFonts w:hint="eastAsia"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default" w:ascii="仿宋" w:hAnsi="仿宋" w:eastAsia="仿宋"/>
          <w:sz w:val="32"/>
          <w:szCs w:val="32"/>
          <w:lang w:val="en-US"/>
        </w:rPr>
        <w:t>1</w:t>
      </w:r>
      <w:r>
        <w:rPr>
          <w:rFonts w:ascii="仿宋" w:hAnsi="仿宋" w:eastAsia="仿宋"/>
          <w:sz w:val="32"/>
          <w:szCs w:val="32"/>
        </w:rPr>
        <w:t>年，我</w:t>
      </w:r>
      <w:r>
        <w:rPr>
          <w:rFonts w:hint="eastAsia" w:ascii="仿宋" w:hAnsi="仿宋" w:eastAsia="仿宋"/>
          <w:sz w:val="32"/>
          <w:szCs w:val="32"/>
          <w:lang w:eastAsia="zh-CN"/>
        </w:rPr>
        <w:t>单位</w:t>
      </w:r>
      <w:r>
        <w:rPr>
          <w:rFonts w:ascii="仿宋" w:hAnsi="仿宋" w:eastAsia="仿宋"/>
          <w:sz w:val="32"/>
          <w:szCs w:val="32"/>
        </w:rPr>
        <w:t>安排政府采购预算</w:t>
      </w:r>
      <w:r>
        <w:rPr>
          <w:rFonts w:hint="default" w:ascii="仿宋" w:hAnsi="仿宋" w:eastAsia="仿宋"/>
          <w:sz w:val="32"/>
          <w:szCs w:val="32"/>
          <w:lang w:val="en-US"/>
        </w:rPr>
        <w:t>75.96</w:t>
      </w:r>
      <w:r>
        <w:rPr>
          <w:rFonts w:ascii="仿宋" w:hAnsi="仿宋" w:eastAsia="仿宋"/>
          <w:sz w:val="32"/>
          <w:szCs w:val="32"/>
        </w:rPr>
        <w:t>万元，具体内容见下表：</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附</w:t>
      </w:r>
      <w:r>
        <w:rPr>
          <w:rFonts w:hint="eastAsia" w:ascii="仿宋" w:hAnsi="仿宋" w:eastAsia="仿宋"/>
          <w:sz w:val="32"/>
          <w:szCs w:val="32"/>
          <w:lang w:eastAsia="zh-CN"/>
        </w:rPr>
        <w:t>单位</w:t>
      </w:r>
      <w:r>
        <w:rPr>
          <w:rFonts w:hint="eastAsia" w:ascii="仿宋" w:hAnsi="仿宋" w:eastAsia="仿宋"/>
          <w:sz w:val="32"/>
          <w:szCs w:val="32"/>
        </w:rPr>
        <w:t>政府采购预算表。</w:t>
      </w:r>
    </w:p>
    <w:p>
      <w:pPr>
        <w:jc w:val="center"/>
        <w:outlineLvl w:val="0"/>
        <w:rPr>
          <w:rFonts w:ascii="方正小标宋_GBK" w:eastAsia="方正小标宋_GBK"/>
          <w:sz w:val="44"/>
        </w:rPr>
      </w:pPr>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b w:val="0"/>
                <w:bCs/>
              </w:rPr>
            </w:pPr>
            <w:r>
              <w:rPr>
                <w:rFonts w:ascii="方正书宋_GBK" w:eastAsia="方正书宋_GBK"/>
                <w:b w:val="0"/>
                <w:bCs/>
              </w:rPr>
              <w:t>政府采购项目来源</w:t>
            </w:r>
          </w:p>
        </w:tc>
        <w:tc>
          <w:tcPr>
            <w:tcW w:w="1531" w:type="dxa"/>
            <w:vMerge w:val="restart"/>
            <w:shd w:val="clear" w:color="auto" w:fill="auto"/>
            <w:vAlign w:val="center"/>
          </w:tcPr>
          <w:p>
            <w:pPr>
              <w:spacing w:line="300" w:lineRule="exact"/>
              <w:jc w:val="center"/>
              <w:rPr>
                <w:rFonts w:ascii="方正书宋_GBK" w:eastAsia="方正书宋_GBK"/>
                <w:b w:val="0"/>
                <w:bCs/>
              </w:rPr>
            </w:pPr>
            <w:r>
              <w:rPr>
                <w:rFonts w:ascii="方正书宋_GBK" w:eastAsia="方正书宋_GBK"/>
                <w:b w:val="0"/>
                <w:bCs/>
              </w:rPr>
              <w:t>采购物品名称</w:t>
            </w:r>
          </w:p>
        </w:tc>
        <w:tc>
          <w:tcPr>
            <w:tcW w:w="1531" w:type="dxa"/>
            <w:vMerge w:val="restart"/>
            <w:shd w:val="clear" w:color="auto" w:fill="auto"/>
            <w:vAlign w:val="center"/>
          </w:tcPr>
          <w:p>
            <w:pPr>
              <w:spacing w:line="300" w:lineRule="exact"/>
              <w:jc w:val="center"/>
              <w:rPr>
                <w:rFonts w:ascii="方正书宋_GBK" w:eastAsia="方正书宋_GBK"/>
                <w:b w:val="0"/>
                <w:bCs/>
              </w:rPr>
            </w:pPr>
            <w:r>
              <w:rPr>
                <w:rFonts w:ascii="方正书宋_GBK" w:eastAsia="方正书宋_GBK"/>
                <w:b w:val="0"/>
                <w:bCs/>
              </w:rPr>
              <w:t>政府采购目录序号</w:t>
            </w:r>
          </w:p>
        </w:tc>
        <w:tc>
          <w:tcPr>
            <w:tcW w:w="709" w:type="dxa"/>
            <w:vMerge w:val="restart"/>
            <w:shd w:val="clear" w:color="auto" w:fill="auto"/>
            <w:vAlign w:val="center"/>
          </w:tcPr>
          <w:p>
            <w:pPr>
              <w:spacing w:line="300" w:lineRule="exact"/>
              <w:jc w:val="center"/>
              <w:rPr>
                <w:rFonts w:ascii="方正书宋_GBK" w:eastAsia="方正书宋_GBK"/>
                <w:b w:val="0"/>
                <w:bCs/>
              </w:rPr>
            </w:pPr>
            <w:r>
              <w:rPr>
                <w:rFonts w:ascii="方正书宋_GBK" w:eastAsia="方正书宋_GBK"/>
                <w:b w:val="0"/>
                <w:bCs/>
              </w:rPr>
              <w:t>计量  单位</w:t>
            </w:r>
          </w:p>
        </w:tc>
        <w:tc>
          <w:tcPr>
            <w:tcW w:w="907" w:type="dxa"/>
            <w:vMerge w:val="restart"/>
            <w:shd w:val="clear" w:color="auto" w:fill="auto"/>
            <w:vAlign w:val="center"/>
          </w:tcPr>
          <w:p>
            <w:pPr>
              <w:spacing w:line="300" w:lineRule="exact"/>
              <w:jc w:val="center"/>
              <w:rPr>
                <w:rFonts w:ascii="方正书宋_GBK" w:eastAsia="方正书宋_GBK"/>
                <w:b w:val="0"/>
                <w:bCs/>
              </w:rPr>
            </w:pPr>
            <w:r>
              <w:rPr>
                <w:rFonts w:ascii="方正书宋_GBK" w:eastAsia="方正书宋_GBK"/>
                <w:b w:val="0"/>
                <w:bCs/>
              </w:rPr>
              <w:t>数量</w:t>
            </w:r>
          </w:p>
        </w:tc>
        <w:tc>
          <w:tcPr>
            <w:tcW w:w="907" w:type="dxa"/>
            <w:vMerge w:val="restart"/>
            <w:shd w:val="clear" w:color="auto" w:fill="auto"/>
            <w:vAlign w:val="center"/>
          </w:tcPr>
          <w:p>
            <w:pPr>
              <w:spacing w:line="300" w:lineRule="exact"/>
              <w:jc w:val="center"/>
              <w:rPr>
                <w:rFonts w:ascii="方正书宋_GBK" w:eastAsia="方正书宋_GBK"/>
                <w:b w:val="0"/>
                <w:bCs/>
              </w:rPr>
            </w:pPr>
            <w:r>
              <w:rPr>
                <w:rFonts w:ascii="方正书宋_GBK" w:eastAsia="方正书宋_GBK"/>
                <w:b w:val="0"/>
                <w:bCs/>
              </w:rPr>
              <w:t>单价</w:t>
            </w:r>
          </w:p>
        </w:tc>
        <w:tc>
          <w:tcPr>
            <w:tcW w:w="6804" w:type="dxa"/>
            <w:gridSpan w:val="6"/>
            <w:shd w:val="clear" w:color="auto" w:fill="auto"/>
            <w:vAlign w:val="center"/>
          </w:tcPr>
          <w:p>
            <w:pPr>
              <w:spacing w:line="300" w:lineRule="exact"/>
              <w:jc w:val="center"/>
              <w:rPr>
                <w:rFonts w:ascii="方正书宋_GBK" w:eastAsia="方正书宋_GBK"/>
                <w:b w:val="0"/>
                <w:bCs/>
              </w:rPr>
            </w:pPr>
            <w:r>
              <w:rPr>
                <w:rFonts w:ascii="方正书宋_GBK" w:eastAsia="方正书宋_GBK"/>
                <w:b w:val="0"/>
                <w:bCs/>
              </w:rPr>
              <w:t>政府采购金额（当年</w:t>
            </w:r>
            <w:r>
              <w:rPr>
                <w:rFonts w:hint="eastAsia" w:ascii="方正书宋_GBK" w:eastAsia="方正书宋_GBK"/>
                <w:b w:val="0"/>
                <w:bCs/>
                <w:lang w:eastAsia="zh-CN"/>
              </w:rPr>
              <w:t>单位</w:t>
            </w:r>
            <w:r>
              <w:rPr>
                <w:rFonts w:ascii="方正书宋_GBK" w:eastAsia="方正书宋_GBK"/>
                <w:b w:val="0"/>
                <w:bCs/>
              </w:rPr>
              <w:t>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b w:val="0"/>
                <w:bCs/>
              </w:rPr>
            </w:pPr>
            <w:r>
              <w:rPr>
                <w:rFonts w:ascii="方正书宋_GBK" w:eastAsia="方正书宋_GBK"/>
                <w:b w:val="0"/>
                <w:bCs/>
              </w:rPr>
              <w:t>项目名称</w:t>
            </w:r>
          </w:p>
        </w:tc>
        <w:tc>
          <w:tcPr>
            <w:tcW w:w="1134" w:type="dxa"/>
            <w:shd w:val="clear" w:color="auto" w:fill="auto"/>
            <w:vAlign w:val="center"/>
          </w:tcPr>
          <w:p>
            <w:pPr>
              <w:spacing w:line="300" w:lineRule="exact"/>
              <w:jc w:val="center"/>
              <w:rPr>
                <w:rFonts w:ascii="方正书宋_GBK" w:eastAsia="方正书宋_GBK"/>
                <w:b w:val="0"/>
                <w:bCs/>
              </w:rPr>
            </w:pPr>
            <w:r>
              <w:rPr>
                <w:rFonts w:ascii="方正书宋_GBK" w:eastAsia="方正书宋_GBK"/>
                <w:b w:val="0"/>
                <w:bCs/>
              </w:rPr>
              <w:t>预算资金</w:t>
            </w:r>
          </w:p>
        </w:tc>
        <w:tc>
          <w:tcPr>
            <w:tcW w:w="1531" w:type="dxa"/>
            <w:vMerge w:val="continue"/>
            <w:shd w:val="clear" w:color="auto" w:fill="auto"/>
            <w:vAlign w:val="center"/>
          </w:tcPr>
          <w:p>
            <w:pPr>
              <w:spacing w:line="300" w:lineRule="exact"/>
              <w:jc w:val="left"/>
              <w:outlineLvl w:val="1"/>
              <w:rPr>
                <w:rFonts w:ascii="Times New Roman" w:eastAsia="方正仿宋_GBK"/>
                <w:b w:val="0"/>
                <w:bCs/>
                <w:sz w:val="28"/>
              </w:rPr>
            </w:pPr>
          </w:p>
        </w:tc>
        <w:tc>
          <w:tcPr>
            <w:tcW w:w="1531" w:type="dxa"/>
            <w:vMerge w:val="continue"/>
            <w:shd w:val="clear" w:color="auto" w:fill="auto"/>
            <w:vAlign w:val="center"/>
          </w:tcPr>
          <w:p>
            <w:pPr>
              <w:spacing w:line="300" w:lineRule="exact"/>
              <w:jc w:val="left"/>
              <w:outlineLvl w:val="1"/>
              <w:rPr>
                <w:rFonts w:ascii="Times New Roman" w:eastAsia="方正仿宋_GBK"/>
                <w:b w:val="0"/>
                <w:bCs/>
                <w:sz w:val="28"/>
              </w:rPr>
            </w:pPr>
          </w:p>
        </w:tc>
        <w:tc>
          <w:tcPr>
            <w:tcW w:w="709" w:type="dxa"/>
            <w:vMerge w:val="continue"/>
            <w:shd w:val="clear" w:color="auto" w:fill="auto"/>
            <w:vAlign w:val="center"/>
          </w:tcPr>
          <w:p>
            <w:pPr>
              <w:spacing w:line="300" w:lineRule="exact"/>
              <w:jc w:val="left"/>
              <w:outlineLvl w:val="1"/>
              <w:rPr>
                <w:rFonts w:ascii="Times New Roman" w:eastAsia="方正仿宋_GBK"/>
                <w:b w:val="0"/>
                <w:bCs/>
                <w:sz w:val="28"/>
              </w:rPr>
            </w:pPr>
          </w:p>
        </w:tc>
        <w:tc>
          <w:tcPr>
            <w:tcW w:w="907" w:type="dxa"/>
            <w:vMerge w:val="continue"/>
            <w:shd w:val="clear" w:color="auto" w:fill="auto"/>
            <w:vAlign w:val="center"/>
          </w:tcPr>
          <w:p>
            <w:pPr>
              <w:spacing w:line="300" w:lineRule="exact"/>
              <w:jc w:val="left"/>
              <w:outlineLvl w:val="1"/>
              <w:rPr>
                <w:rFonts w:ascii="Times New Roman" w:eastAsia="方正仿宋_GBK"/>
                <w:b w:val="0"/>
                <w:bCs/>
                <w:sz w:val="28"/>
              </w:rPr>
            </w:pPr>
          </w:p>
        </w:tc>
        <w:tc>
          <w:tcPr>
            <w:tcW w:w="907" w:type="dxa"/>
            <w:vMerge w:val="continue"/>
            <w:shd w:val="clear" w:color="auto" w:fill="auto"/>
            <w:vAlign w:val="center"/>
          </w:tcPr>
          <w:p>
            <w:pPr>
              <w:spacing w:line="300" w:lineRule="exact"/>
              <w:jc w:val="left"/>
              <w:outlineLvl w:val="1"/>
              <w:rPr>
                <w:rFonts w:ascii="Times New Roman" w:eastAsia="方正仿宋_GBK"/>
                <w:b w:val="0"/>
                <w:bCs/>
                <w:sz w:val="28"/>
              </w:rPr>
            </w:pPr>
          </w:p>
        </w:tc>
        <w:tc>
          <w:tcPr>
            <w:tcW w:w="1134" w:type="dxa"/>
            <w:shd w:val="clear" w:color="auto" w:fill="auto"/>
            <w:vAlign w:val="center"/>
          </w:tcPr>
          <w:p>
            <w:pPr>
              <w:spacing w:line="300" w:lineRule="exact"/>
              <w:jc w:val="center"/>
              <w:rPr>
                <w:rFonts w:ascii="方正书宋_GBK" w:eastAsia="方正书宋_GBK"/>
                <w:b w:val="0"/>
                <w:bCs/>
              </w:rPr>
            </w:pPr>
            <w:r>
              <w:rPr>
                <w:rFonts w:ascii="方正书宋_GBK" w:eastAsia="方正书宋_GBK"/>
                <w:b w:val="0"/>
                <w:bCs/>
              </w:rPr>
              <w:t>合计</w:t>
            </w:r>
          </w:p>
        </w:tc>
        <w:tc>
          <w:tcPr>
            <w:tcW w:w="1134" w:type="dxa"/>
            <w:shd w:val="clear" w:color="auto" w:fill="auto"/>
            <w:vAlign w:val="center"/>
          </w:tcPr>
          <w:p>
            <w:pPr>
              <w:spacing w:line="300" w:lineRule="exact"/>
              <w:jc w:val="center"/>
              <w:rPr>
                <w:rFonts w:ascii="方正书宋_GBK" w:eastAsia="方正书宋_GBK"/>
                <w:b w:val="0"/>
                <w:bCs/>
              </w:rPr>
            </w:pPr>
            <w:r>
              <w:rPr>
                <w:rFonts w:ascii="方正书宋_GBK" w:eastAsia="方正书宋_GBK"/>
                <w:b w:val="0"/>
                <w:bCs/>
              </w:rPr>
              <w:t>一般公共预算拨款</w:t>
            </w:r>
          </w:p>
        </w:tc>
        <w:tc>
          <w:tcPr>
            <w:tcW w:w="1134" w:type="dxa"/>
            <w:shd w:val="clear" w:color="auto" w:fill="auto"/>
            <w:vAlign w:val="center"/>
          </w:tcPr>
          <w:p>
            <w:pPr>
              <w:spacing w:line="300" w:lineRule="exact"/>
              <w:jc w:val="center"/>
              <w:rPr>
                <w:rFonts w:ascii="方正书宋_GBK" w:eastAsia="方正书宋_GBK"/>
                <w:b w:val="0"/>
                <w:bCs/>
              </w:rPr>
            </w:pPr>
            <w:r>
              <w:rPr>
                <w:rFonts w:ascii="方正书宋_GBK" w:eastAsia="方正书宋_GBK"/>
                <w:b w:val="0"/>
                <w:bCs/>
              </w:rPr>
              <w:t>基金预算拨款</w:t>
            </w:r>
          </w:p>
        </w:tc>
        <w:tc>
          <w:tcPr>
            <w:tcW w:w="1134" w:type="dxa"/>
            <w:shd w:val="clear" w:color="auto" w:fill="auto"/>
            <w:vAlign w:val="center"/>
          </w:tcPr>
          <w:p>
            <w:pPr>
              <w:spacing w:line="300" w:lineRule="exact"/>
              <w:jc w:val="center"/>
              <w:rPr>
                <w:rFonts w:ascii="方正书宋_GBK" w:eastAsia="方正书宋_GBK"/>
                <w:b w:val="0"/>
                <w:bCs/>
              </w:rPr>
            </w:pPr>
            <w:r>
              <w:rPr>
                <w:rFonts w:ascii="方正书宋_GBK" w:eastAsia="方正书宋_GBK"/>
                <w:b w:val="0"/>
                <w:bCs/>
              </w:rPr>
              <w:t>国有资本经营预算拨款</w:t>
            </w:r>
          </w:p>
        </w:tc>
        <w:tc>
          <w:tcPr>
            <w:tcW w:w="1134" w:type="dxa"/>
            <w:shd w:val="clear" w:color="auto" w:fill="auto"/>
            <w:vAlign w:val="center"/>
          </w:tcPr>
          <w:p>
            <w:pPr>
              <w:spacing w:line="300" w:lineRule="exact"/>
              <w:jc w:val="center"/>
              <w:rPr>
                <w:rFonts w:ascii="方正书宋_GBK" w:eastAsia="方正书宋_GBK"/>
                <w:b w:val="0"/>
                <w:bCs/>
              </w:rPr>
            </w:pPr>
            <w:r>
              <w:rPr>
                <w:rFonts w:ascii="方正书宋_GBK" w:eastAsia="方正书宋_GBK"/>
                <w:b w:val="0"/>
                <w:bCs/>
              </w:rPr>
              <w:t>财政专户核拨</w:t>
            </w:r>
          </w:p>
        </w:tc>
        <w:tc>
          <w:tcPr>
            <w:tcW w:w="1134" w:type="dxa"/>
            <w:shd w:val="clear" w:color="auto" w:fill="auto"/>
            <w:vAlign w:val="center"/>
          </w:tcPr>
          <w:p>
            <w:pPr>
              <w:spacing w:line="300" w:lineRule="exact"/>
              <w:jc w:val="center"/>
              <w:rPr>
                <w:rFonts w:ascii="方正书宋_GBK" w:eastAsia="方正书宋_GBK"/>
                <w:b w:val="0"/>
                <w:bCs/>
              </w:rPr>
            </w:pPr>
            <w:r>
              <w:rPr>
                <w:rFonts w:ascii="方正书宋_GBK" w:eastAsia="方正书宋_GBK"/>
                <w:b w:val="0"/>
                <w:bCs/>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val="0"/>
                <w:bCs/>
              </w:rPr>
            </w:pPr>
            <w:r>
              <w:rPr>
                <w:rFonts w:ascii="方正书宋_GBK" w:eastAsia="方正书宋_GBK"/>
                <w:b w:val="0"/>
                <w:bCs/>
              </w:rPr>
              <w:t>合  计</w:t>
            </w:r>
          </w:p>
        </w:tc>
        <w:tc>
          <w:tcPr>
            <w:tcW w:w="1134" w:type="dxa"/>
            <w:shd w:val="clear" w:color="auto" w:fill="auto"/>
            <w:vAlign w:val="center"/>
          </w:tcPr>
          <w:p>
            <w:pPr>
              <w:spacing w:line="300" w:lineRule="exact"/>
              <w:jc w:val="right"/>
              <w:rPr>
                <w:rFonts w:ascii="方正书宋_GBK" w:eastAsia="方正书宋_GBK"/>
                <w:b w:val="0"/>
                <w:bCs/>
              </w:rPr>
            </w:pPr>
          </w:p>
        </w:tc>
        <w:tc>
          <w:tcPr>
            <w:tcW w:w="1531" w:type="dxa"/>
            <w:shd w:val="clear" w:color="auto" w:fill="auto"/>
            <w:vAlign w:val="center"/>
          </w:tcPr>
          <w:p>
            <w:pPr>
              <w:spacing w:line="300" w:lineRule="exact"/>
              <w:jc w:val="left"/>
              <w:rPr>
                <w:rFonts w:ascii="方正书宋_GBK" w:eastAsia="方正书宋_GBK"/>
                <w:b w:val="0"/>
                <w:bCs/>
              </w:rPr>
            </w:pPr>
          </w:p>
        </w:tc>
        <w:tc>
          <w:tcPr>
            <w:tcW w:w="1531" w:type="dxa"/>
            <w:shd w:val="clear" w:color="auto" w:fill="auto"/>
            <w:vAlign w:val="center"/>
          </w:tcPr>
          <w:p>
            <w:pPr>
              <w:spacing w:line="300" w:lineRule="exact"/>
              <w:jc w:val="left"/>
              <w:rPr>
                <w:rFonts w:ascii="方正书宋_GBK" w:eastAsia="方正书宋_GBK"/>
                <w:b w:val="0"/>
                <w:bCs/>
              </w:rPr>
            </w:pPr>
          </w:p>
        </w:tc>
        <w:tc>
          <w:tcPr>
            <w:tcW w:w="709" w:type="dxa"/>
            <w:shd w:val="clear" w:color="auto" w:fill="auto"/>
            <w:vAlign w:val="center"/>
          </w:tcPr>
          <w:p>
            <w:pPr>
              <w:spacing w:line="300" w:lineRule="exact"/>
              <w:jc w:val="center"/>
              <w:rPr>
                <w:rFonts w:ascii="方正书宋_GBK" w:eastAsia="方正书宋_GBK"/>
                <w:b w:val="0"/>
                <w:bCs/>
              </w:rPr>
            </w:pPr>
          </w:p>
        </w:tc>
        <w:tc>
          <w:tcPr>
            <w:tcW w:w="907" w:type="dxa"/>
            <w:shd w:val="clear" w:color="auto" w:fill="auto"/>
            <w:vAlign w:val="center"/>
          </w:tcPr>
          <w:p>
            <w:pPr>
              <w:spacing w:line="300" w:lineRule="exact"/>
              <w:jc w:val="right"/>
              <w:rPr>
                <w:rFonts w:ascii="方正书宋_GBK" w:eastAsia="方正书宋_GBK"/>
                <w:b w:val="0"/>
                <w:bCs/>
              </w:rPr>
            </w:pPr>
          </w:p>
        </w:tc>
        <w:tc>
          <w:tcPr>
            <w:tcW w:w="907" w:type="dxa"/>
            <w:shd w:val="clear" w:color="auto" w:fill="auto"/>
            <w:vAlign w:val="center"/>
          </w:tcPr>
          <w:p>
            <w:pPr>
              <w:spacing w:line="300" w:lineRule="exact"/>
              <w:jc w:val="right"/>
              <w:rPr>
                <w:rFonts w:ascii="方正书宋_GBK" w:eastAsia="方正书宋_GBK"/>
                <w:b w:val="0"/>
                <w:bCs/>
              </w:rPr>
            </w:pPr>
          </w:p>
        </w:tc>
        <w:tc>
          <w:tcPr>
            <w:tcW w:w="1134" w:type="dxa"/>
            <w:shd w:val="clear" w:color="auto" w:fill="auto"/>
            <w:vAlign w:val="center"/>
          </w:tcPr>
          <w:p>
            <w:pPr>
              <w:spacing w:line="300" w:lineRule="exact"/>
              <w:jc w:val="right"/>
              <w:rPr>
                <w:rFonts w:ascii="方正书宋_GBK" w:eastAsia="方正书宋_GBK"/>
                <w:b w:val="0"/>
                <w:bCs/>
              </w:rPr>
            </w:pPr>
          </w:p>
        </w:tc>
        <w:tc>
          <w:tcPr>
            <w:tcW w:w="1134" w:type="dxa"/>
            <w:shd w:val="clear" w:color="auto" w:fill="auto"/>
            <w:vAlign w:val="center"/>
          </w:tcPr>
          <w:p>
            <w:pPr>
              <w:spacing w:line="300" w:lineRule="exact"/>
              <w:jc w:val="right"/>
              <w:rPr>
                <w:rFonts w:ascii="方正书宋_GBK" w:eastAsia="方正书宋_GBK"/>
                <w:b w:val="0"/>
                <w:bCs/>
              </w:rPr>
            </w:pPr>
          </w:p>
        </w:tc>
        <w:tc>
          <w:tcPr>
            <w:tcW w:w="1134" w:type="dxa"/>
            <w:shd w:val="clear" w:color="auto" w:fill="auto"/>
            <w:vAlign w:val="center"/>
          </w:tcPr>
          <w:p>
            <w:pPr>
              <w:spacing w:line="300" w:lineRule="exact"/>
              <w:jc w:val="right"/>
              <w:rPr>
                <w:rFonts w:ascii="方正书宋_GBK" w:eastAsia="方正书宋_GBK"/>
                <w:b w:val="0"/>
                <w:bCs/>
              </w:rPr>
            </w:pPr>
          </w:p>
        </w:tc>
        <w:tc>
          <w:tcPr>
            <w:tcW w:w="1134" w:type="dxa"/>
            <w:shd w:val="clear" w:color="auto" w:fill="auto"/>
            <w:vAlign w:val="center"/>
          </w:tcPr>
          <w:p>
            <w:pPr>
              <w:spacing w:line="300" w:lineRule="exact"/>
              <w:jc w:val="right"/>
              <w:rPr>
                <w:rFonts w:ascii="方正书宋_GBK" w:eastAsia="方正书宋_GBK"/>
                <w:b w:val="0"/>
                <w:bCs/>
              </w:rPr>
            </w:pPr>
          </w:p>
        </w:tc>
        <w:tc>
          <w:tcPr>
            <w:tcW w:w="1134" w:type="dxa"/>
            <w:shd w:val="clear" w:color="auto" w:fill="auto"/>
            <w:vAlign w:val="center"/>
          </w:tcPr>
          <w:p>
            <w:pPr>
              <w:spacing w:line="300" w:lineRule="exact"/>
              <w:jc w:val="right"/>
              <w:rPr>
                <w:rFonts w:ascii="方正书宋_GBK" w:eastAsia="方正书宋_GBK"/>
                <w:b w:val="0"/>
                <w:bCs/>
              </w:rPr>
            </w:pPr>
          </w:p>
        </w:tc>
        <w:tc>
          <w:tcPr>
            <w:tcW w:w="1134" w:type="dxa"/>
            <w:shd w:val="clear" w:color="auto" w:fill="auto"/>
            <w:vAlign w:val="center"/>
          </w:tcPr>
          <w:p>
            <w:pPr>
              <w:spacing w:line="300" w:lineRule="exact"/>
              <w:jc w:val="right"/>
              <w:rPr>
                <w:rFonts w:ascii="方正书宋_GBK" w:eastAsia="方正书宋_GBK"/>
                <w:b w:val="0"/>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b w:val="0"/>
                <w:bCs/>
              </w:rPr>
            </w:pPr>
            <w:r>
              <w:rPr>
                <w:rFonts w:hint="eastAsia" w:ascii="方正书宋_GBK" w:eastAsia="方正书宋_GBK"/>
                <w:b w:val="0"/>
                <w:bCs/>
              </w:rPr>
              <w:t>产品质量监督抽查经费</w:t>
            </w:r>
          </w:p>
        </w:tc>
        <w:tc>
          <w:tcPr>
            <w:tcW w:w="1134" w:type="dxa"/>
            <w:shd w:val="clear" w:color="auto" w:fill="auto"/>
            <w:vAlign w:val="center"/>
          </w:tcPr>
          <w:p>
            <w:pPr>
              <w:spacing w:line="300" w:lineRule="exact"/>
              <w:jc w:val="right"/>
              <w:rPr>
                <w:rFonts w:hint="default" w:ascii="方正书宋_GBK" w:eastAsia="方正书宋_GBK"/>
                <w:b w:val="0"/>
                <w:bCs/>
                <w:lang w:val="en-US"/>
              </w:rPr>
            </w:pPr>
            <w:r>
              <w:rPr>
                <w:rFonts w:hint="default" w:ascii="方正书宋_GBK" w:eastAsia="方正书宋_GBK"/>
                <w:b w:val="0"/>
                <w:bCs/>
                <w:lang w:val="en-US"/>
              </w:rPr>
              <w:t>75.96</w:t>
            </w:r>
          </w:p>
        </w:tc>
        <w:tc>
          <w:tcPr>
            <w:tcW w:w="1531" w:type="dxa"/>
            <w:shd w:val="clear" w:color="auto" w:fill="auto"/>
            <w:vAlign w:val="center"/>
          </w:tcPr>
          <w:p>
            <w:pPr>
              <w:spacing w:line="300" w:lineRule="exact"/>
              <w:jc w:val="left"/>
              <w:rPr>
                <w:rFonts w:ascii="方正书宋_GBK" w:eastAsia="方正书宋_GBK"/>
                <w:b w:val="0"/>
                <w:bCs/>
              </w:rPr>
            </w:pPr>
            <w:r>
              <w:rPr>
                <w:rFonts w:hint="eastAsia" w:ascii="方正书宋_GBK" w:eastAsia="方正书宋_GBK"/>
                <w:b w:val="0"/>
                <w:bCs/>
              </w:rPr>
              <w:t>第三方产品质量检测购买服务</w:t>
            </w:r>
          </w:p>
        </w:tc>
        <w:tc>
          <w:tcPr>
            <w:tcW w:w="1531" w:type="dxa"/>
            <w:shd w:val="clear" w:color="auto" w:fill="auto"/>
            <w:vAlign w:val="center"/>
          </w:tcPr>
          <w:p>
            <w:pPr>
              <w:spacing w:line="300" w:lineRule="exact"/>
              <w:jc w:val="left"/>
              <w:rPr>
                <w:rFonts w:ascii="方正书宋_GBK" w:eastAsia="方正书宋_GBK"/>
                <w:b w:val="0"/>
                <w:bCs/>
              </w:rPr>
            </w:pPr>
          </w:p>
        </w:tc>
        <w:tc>
          <w:tcPr>
            <w:tcW w:w="709" w:type="dxa"/>
            <w:shd w:val="clear" w:color="auto" w:fill="auto"/>
            <w:vAlign w:val="center"/>
          </w:tcPr>
          <w:p>
            <w:pPr>
              <w:spacing w:line="300" w:lineRule="exact"/>
              <w:jc w:val="center"/>
              <w:rPr>
                <w:rFonts w:ascii="方正书宋_GBK" w:eastAsia="方正书宋_GBK"/>
                <w:b w:val="0"/>
                <w:bCs/>
              </w:rPr>
            </w:pPr>
            <w:r>
              <w:rPr>
                <w:rFonts w:hint="eastAsia" w:ascii="方正书宋_GBK" w:eastAsia="方正书宋_GBK"/>
                <w:b w:val="0"/>
                <w:bCs/>
              </w:rPr>
              <w:t>批</w:t>
            </w:r>
          </w:p>
        </w:tc>
        <w:tc>
          <w:tcPr>
            <w:tcW w:w="907" w:type="dxa"/>
            <w:shd w:val="clear" w:color="auto" w:fill="auto"/>
            <w:vAlign w:val="center"/>
          </w:tcPr>
          <w:p>
            <w:pPr>
              <w:spacing w:line="300" w:lineRule="exact"/>
              <w:jc w:val="right"/>
              <w:rPr>
                <w:rFonts w:ascii="方正书宋_GBK" w:eastAsia="方正书宋_GBK"/>
                <w:b w:val="0"/>
                <w:bCs/>
              </w:rPr>
            </w:pPr>
            <w:r>
              <w:rPr>
                <w:rFonts w:hint="eastAsia" w:ascii="方正书宋_GBK" w:eastAsia="方正书宋_GBK"/>
                <w:b w:val="0"/>
                <w:bCs/>
              </w:rPr>
              <w:t>1</w:t>
            </w:r>
          </w:p>
        </w:tc>
        <w:tc>
          <w:tcPr>
            <w:tcW w:w="907" w:type="dxa"/>
            <w:shd w:val="clear" w:color="auto" w:fill="auto"/>
            <w:vAlign w:val="center"/>
          </w:tcPr>
          <w:p>
            <w:pPr>
              <w:spacing w:line="300" w:lineRule="exact"/>
              <w:jc w:val="right"/>
              <w:rPr>
                <w:rFonts w:hint="default" w:ascii="方正书宋_GBK" w:eastAsia="方正书宋_GBK"/>
                <w:b w:val="0"/>
                <w:bCs/>
                <w:lang w:val="en-US"/>
              </w:rPr>
            </w:pPr>
            <w:r>
              <w:rPr>
                <w:rFonts w:hint="default" w:ascii="方正书宋_GBK" w:eastAsia="方正书宋_GBK"/>
                <w:b w:val="0"/>
                <w:bCs/>
                <w:lang w:val="en-US"/>
              </w:rPr>
              <w:t>75.96</w:t>
            </w:r>
          </w:p>
        </w:tc>
        <w:tc>
          <w:tcPr>
            <w:tcW w:w="1134" w:type="dxa"/>
            <w:shd w:val="clear" w:color="auto" w:fill="auto"/>
            <w:vAlign w:val="center"/>
          </w:tcPr>
          <w:p>
            <w:pPr>
              <w:spacing w:line="300" w:lineRule="exact"/>
              <w:jc w:val="right"/>
              <w:rPr>
                <w:rFonts w:hint="default" w:ascii="方正书宋_GBK" w:eastAsia="方正书宋_GBK"/>
                <w:b w:val="0"/>
                <w:bCs/>
                <w:lang w:val="en-US"/>
              </w:rPr>
            </w:pPr>
          </w:p>
        </w:tc>
        <w:tc>
          <w:tcPr>
            <w:tcW w:w="1134" w:type="dxa"/>
            <w:shd w:val="clear" w:color="auto" w:fill="auto"/>
            <w:vAlign w:val="center"/>
          </w:tcPr>
          <w:p>
            <w:pPr>
              <w:spacing w:line="300" w:lineRule="exact"/>
              <w:jc w:val="right"/>
              <w:rPr>
                <w:rFonts w:hint="default" w:ascii="方正书宋_GBK" w:eastAsia="方正书宋_GBK"/>
                <w:b w:val="0"/>
                <w:bCs/>
                <w:lang w:val="en-US"/>
              </w:rPr>
            </w:pPr>
            <w:r>
              <w:rPr>
                <w:rFonts w:hint="default" w:ascii="方正书宋_GBK" w:eastAsia="方正书宋_GBK"/>
                <w:b w:val="0"/>
                <w:bCs/>
                <w:lang w:val="en-US"/>
              </w:rPr>
              <w:t>75.96</w:t>
            </w:r>
          </w:p>
        </w:tc>
        <w:tc>
          <w:tcPr>
            <w:tcW w:w="1134" w:type="dxa"/>
            <w:shd w:val="clear" w:color="auto" w:fill="auto"/>
            <w:vAlign w:val="center"/>
          </w:tcPr>
          <w:p>
            <w:pPr>
              <w:spacing w:line="300" w:lineRule="exact"/>
              <w:jc w:val="right"/>
              <w:rPr>
                <w:rFonts w:ascii="方正书宋_GBK" w:eastAsia="方正书宋_GBK"/>
                <w:b w:val="0"/>
                <w:bCs/>
              </w:rPr>
            </w:pPr>
          </w:p>
        </w:tc>
        <w:tc>
          <w:tcPr>
            <w:tcW w:w="1134" w:type="dxa"/>
            <w:shd w:val="clear" w:color="auto" w:fill="auto"/>
            <w:vAlign w:val="center"/>
          </w:tcPr>
          <w:p>
            <w:pPr>
              <w:spacing w:line="300" w:lineRule="exact"/>
              <w:jc w:val="right"/>
              <w:rPr>
                <w:rFonts w:ascii="方正书宋_GBK" w:eastAsia="方正书宋_GBK"/>
                <w:b w:val="0"/>
                <w:bCs/>
              </w:rPr>
            </w:pPr>
          </w:p>
        </w:tc>
        <w:tc>
          <w:tcPr>
            <w:tcW w:w="1134" w:type="dxa"/>
            <w:shd w:val="clear" w:color="auto" w:fill="auto"/>
            <w:vAlign w:val="center"/>
          </w:tcPr>
          <w:p>
            <w:pPr>
              <w:spacing w:line="300" w:lineRule="exact"/>
              <w:jc w:val="right"/>
              <w:rPr>
                <w:rFonts w:ascii="方正书宋_GBK" w:eastAsia="方正书宋_GBK"/>
                <w:b w:val="0"/>
                <w:bCs/>
              </w:rPr>
            </w:pPr>
          </w:p>
        </w:tc>
        <w:tc>
          <w:tcPr>
            <w:tcW w:w="1134" w:type="dxa"/>
            <w:shd w:val="clear" w:color="auto" w:fill="auto"/>
            <w:vAlign w:val="center"/>
          </w:tcPr>
          <w:p>
            <w:pPr>
              <w:spacing w:line="300" w:lineRule="exact"/>
              <w:jc w:val="right"/>
              <w:rPr>
                <w:rFonts w:ascii="方正书宋_GBK" w:eastAsia="方正书宋_GBK"/>
                <w:b w:val="0"/>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b w:val="0"/>
                <w:bCs/>
                <w:lang w:eastAsia="zh-CN"/>
              </w:rPr>
            </w:pPr>
          </w:p>
        </w:tc>
        <w:tc>
          <w:tcPr>
            <w:tcW w:w="1134" w:type="dxa"/>
            <w:shd w:val="clear" w:color="auto" w:fill="auto"/>
            <w:vAlign w:val="center"/>
          </w:tcPr>
          <w:p>
            <w:pPr>
              <w:spacing w:line="300" w:lineRule="exact"/>
              <w:jc w:val="right"/>
              <w:rPr>
                <w:rFonts w:hint="default" w:ascii="方正书宋_GBK" w:eastAsia="方正书宋_GBK"/>
                <w:b w:val="0"/>
                <w:bCs/>
                <w:lang w:val="en-US"/>
              </w:rPr>
            </w:pPr>
          </w:p>
        </w:tc>
        <w:tc>
          <w:tcPr>
            <w:tcW w:w="1531" w:type="dxa"/>
            <w:shd w:val="clear" w:color="auto" w:fill="auto"/>
            <w:vAlign w:val="center"/>
          </w:tcPr>
          <w:p>
            <w:pPr>
              <w:spacing w:line="300" w:lineRule="exact"/>
              <w:jc w:val="left"/>
              <w:rPr>
                <w:rFonts w:ascii="方正书宋_GBK" w:eastAsia="方正书宋_GBK"/>
                <w:b w:val="0"/>
                <w:bCs/>
              </w:rPr>
            </w:pPr>
          </w:p>
        </w:tc>
        <w:tc>
          <w:tcPr>
            <w:tcW w:w="1531" w:type="dxa"/>
            <w:shd w:val="clear" w:color="auto" w:fill="auto"/>
            <w:vAlign w:val="center"/>
          </w:tcPr>
          <w:p>
            <w:pPr>
              <w:spacing w:line="300" w:lineRule="exact"/>
              <w:jc w:val="left"/>
              <w:rPr>
                <w:rFonts w:ascii="方正书宋_GBK" w:eastAsia="方正书宋_GBK"/>
                <w:b w:val="0"/>
                <w:bCs/>
              </w:rPr>
            </w:pPr>
          </w:p>
        </w:tc>
        <w:tc>
          <w:tcPr>
            <w:tcW w:w="709" w:type="dxa"/>
            <w:shd w:val="clear" w:color="auto" w:fill="auto"/>
            <w:vAlign w:val="center"/>
          </w:tcPr>
          <w:p>
            <w:pPr>
              <w:spacing w:line="300" w:lineRule="exact"/>
              <w:jc w:val="center"/>
              <w:rPr>
                <w:rFonts w:hint="eastAsia" w:ascii="方正书宋_GBK" w:eastAsia="方正书宋_GBK"/>
                <w:b w:val="0"/>
                <w:bCs/>
                <w:lang w:eastAsia="zh-CN"/>
              </w:rPr>
            </w:pPr>
          </w:p>
        </w:tc>
        <w:tc>
          <w:tcPr>
            <w:tcW w:w="907" w:type="dxa"/>
            <w:shd w:val="clear" w:color="auto" w:fill="auto"/>
            <w:vAlign w:val="center"/>
          </w:tcPr>
          <w:p>
            <w:pPr>
              <w:spacing w:line="300" w:lineRule="exact"/>
              <w:jc w:val="right"/>
              <w:rPr>
                <w:rFonts w:hint="default" w:ascii="方正书宋_GBK" w:eastAsia="方正书宋_GBK"/>
                <w:b w:val="0"/>
                <w:bCs/>
                <w:lang w:val="en-US"/>
              </w:rPr>
            </w:pPr>
          </w:p>
        </w:tc>
        <w:tc>
          <w:tcPr>
            <w:tcW w:w="907" w:type="dxa"/>
            <w:shd w:val="clear" w:color="auto" w:fill="auto"/>
            <w:vAlign w:val="center"/>
          </w:tcPr>
          <w:p>
            <w:pPr>
              <w:spacing w:line="300" w:lineRule="exact"/>
              <w:jc w:val="right"/>
              <w:rPr>
                <w:rFonts w:hint="default" w:ascii="方正书宋_GBK" w:eastAsia="方正书宋_GBK"/>
                <w:b w:val="0"/>
                <w:bCs/>
                <w:lang w:val="en-US"/>
              </w:rPr>
            </w:pPr>
          </w:p>
        </w:tc>
        <w:tc>
          <w:tcPr>
            <w:tcW w:w="1134" w:type="dxa"/>
            <w:shd w:val="clear" w:color="auto" w:fill="auto"/>
            <w:vAlign w:val="center"/>
          </w:tcPr>
          <w:p>
            <w:pPr>
              <w:spacing w:line="300" w:lineRule="exact"/>
              <w:jc w:val="right"/>
              <w:rPr>
                <w:rFonts w:hint="default" w:ascii="方正书宋_GBK" w:eastAsia="方正书宋_GBK"/>
                <w:b w:val="0"/>
                <w:bCs/>
                <w:lang w:val="en-US"/>
              </w:rPr>
            </w:pPr>
          </w:p>
        </w:tc>
        <w:tc>
          <w:tcPr>
            <w:tcW w:w="1134" w:type="dxa"/>
            <w:shd w:val="clear" w:color="auto" w:fill="auto"/>
            <w:vAlign w:val="center"/>
          </w:tcPr>
          <w:p>
            <w:pPr>
              <w:spacing w:line="300" w:lineRule="exact"/>
              <w:jc w:val="right"/>
              <w:rPr>
                <w:rFonts w:hint="default" w:ascii="方正书宋_GBK" w:eastAsia="方正书宋_GBK"/>
                <w:b w:val="0"/>
                <w:bCs/>
                <w:lang w:val="en-US"/>
              </w:rPr>
            </w:pPr>
          </w:p>
        </w:tc>
        <w:tc>
          <w:tcPr>
            <w:tcW w:w="1134" w:type="dxa"/>
            <w:shd w:val="clear" w:color="auto" w:fill="auto"/>
            <w:vAlign w:val="center"/>
          </w:tcPr>
          <w:p>
            <w:pPr>
              <w:spacing w:line="300" w:lineRule="exact"/>
              <w:jc w:val="right"/>
              <w:rPr>
                <w:rFonts w:ascii="方正书宋_GBK" w:eastAsia="方正书宋_GBK"/>
                <w:b w:val="0"/>
                <w:bCs/>
              </w:rPr>
            </w:pPr>
          </w:p>
        </w:tc>
        <w:tc>
          <w:tcPr>
            <w:tcW w:w="1134" w:type="dxa"/>
            <w:shd w:val="clear" w:color="auto" w:fill="auto"/>
            <w:vAlign w:val="center"/>
          </w:tcPr>
          <w:p>
            <w:pPr>
              <w:spacing w:line="300" w:lineRule="exact"/>
              <w:jc w:val="right"/>
              <w:rPr>
                <w:rFonts w:ascii="方正书宋_GBK" w:eastAsia="方正书宋_GBK"/>
                <w:b w:val="0"/>
                <w:bCs/>
              </w:rPr>
            </w:pPr>
          </w:p>
        </w:tc>
        <w:tc>
          <w:tcPr>
            <w:tcW w:w="1134" w:type="dxa"/>
            <w:shd w:val="clear" w:color="auto" w:fill="auto"/>
            <w:vAlign w:val="center"/>
          </w:tcPr>
          <w:p>
            <w:pPr>
              <w:spacing w:line="300" w:lineRule="exact"/>
              <w:jc w:val="right"/>
              <w:rPr>
                <w:rFonts w:ascii="方正书宋_GBK" w:eastAsia="方正书宋_GBK"/>
                <w:b w:val="0"/>
                <w:bCs/>
              </w:rPr>
            </w:pPr>
          </w:p>
        </w:tc>
        <w:tc>
          <w:tcPr>
            <w:tcW w:w="1134" w:type="dxa"/>
            <w:shd w:val="clear" w:color="auto" w:fill="auto"/>
            <w:vAlign w:val="center"/>
          </w:tcPr>
          <w:p>
            <w:pPr>
              <w:spacing w:line="300" w:lineRule="exact"/>
              <w:jc w:val="right"/>
              <w:rPr>
                <w:rFonts w:ascii="方正书宋_GBK" w:eastAsia="方正书宋_GBK"/>
                <w:b w:val="0"/>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Pr>
        <w:spacing w:line="360" w:lineRule="auto"/>
        <w:rPr>
          <w:rFonts w:hint="eastAsia" w:ascii="仿宋" w:hAnsi="仿宋" w:eastAsia="仿宋"/>
          <w:sz w:val="32"/>
          <w:szCs w:val="32"/>
        </w:rPr>
        <w:sectPr>
          <w:footerReference r:id="rId3" w:type="default"/>
          <w:pgSz w:w="16838" w:h="11906" w:orient="landscape"/>
          <w:pgMar w:top="1797" w:right="1440" w:bottom="1797" w:left="1440" w:header="851" w:footer="992" w:gutter="0"/>
          <w:cols w:space="425" w:num="1"/>
          <w:docGrid w:type="linesAndChars" w:linePitch="312" w:charSpace="0"/>
        </w:sectPr>
      </w:pPr>
    </w:p>
    <w:p>
      <w:pPr>
        <w:spacing w:line="360" w:lineRule="auto"/>
        <w:rPr>
          <w:rFonts w:hint="eastAsia"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w:t>
      </w:r>
      <w:r>
        <w:rPr>
          <w:rFonts w:hint="eastAsia" w:ascii="仿宋" w:hAnsi="仿宋" w:eastAsia="仿宋"/>
          <w:sz w:val="32"/>
          <w:szCs w:val="32"/>
          <w:lang w:eastAsia="zh-CN"/>
        </w:rPr>
        <w:t>单位</w:t>
      </w:r>
      <w:r>
        <w:rPr>
          <w:rFonts w:hint="eastAsia" w:ascii="仿宋" w:hAnsi="仿宋" w:eastAsia="仿宋"/>
          <w:sz w:val="32"/>
          <w:szCs w:val="32"/>
        </w:rPr>
        <w:t>固定资产总金额为</w:t>
      </w:r>
      <w:r>
        <w:rPr>
          <w:rFonts w:hint="default" w:ascii="仿宋" w:hAnsi="仿宋" w:eastAsia="仿宋"/>
          <w:sz w:val="32"/>
          <w:szCs w:val="32"/>
          <w:lang w:val="en-US"/>
        </w:rPr>
        <w:t>0</w:t>
      </w:r>
      <w:r>
        <w:rPr>
          <w:rFonts w:hint="eastAsia" w:ascii="仿宋" w:hAnsi="仿宋" w:eastAsia="仿宋"/>
          <w:sz w:val="32"/>
          <w:szCs w:val="32"/>
        </w:rPr>
        <w:t>万元（详见下表）。</w:t>
      </w:r>
      <w:r>
        <w:rPr>
          <w:rFonts w:ascii="仿宋" w:hAnsi="仿宋" w:eastAsia="仿宋"/>
          <w:sz w:val="32"/>
          <w:szCs w:val="32"/>
        </w:rPr>
        <w:t xml:space="preserve"> </w:t>
      </w:r>
      <w:r>
        <w:rPr>
          <w:rFonts w:hint="eastAsia" w:ascii="仿宋" w:hAnsi="仿宋" w:eastAsia="仿宋"/>
          <w:sz w:val="32"/>
          <w:szCs w:val="32"/>
        </w:rPr>
        <w:t>我</w:t>
      </w:r>
      <w:r>
        <w:rPr>
          <w:rFonts w:hint="eastAsia" w:ascii="仿宋" w:hAnsi="仿宋" w:eastAsia="仿宋"/>
          <w:sz w:val="32"/>
          <w:szCs w:val="32"/>
          <w:lang w:eastAsia="zh-CN"/>
        </w:rPr>
        <w:t>单位</w:t>
      </w:r>
      <w:r>
        <w:rPr>
          <w:rFonts w:hint="eastAsia" w:ascii="仿宋" w:hAnsi="仿宋" w:eastAsia="仿宋"/>
          <w:sz w:val="32"/>
          <w:szCs w:val="32"/>
        </w:rPr>
        <w:t>本年度无国有资产购置计划，拟购置金额为</w:t>
      </w:r>
      <w:r>
        <w:rPr>
          <w:rFonts w:ascii="仿宋" w:hAnsi="仿宋" w:eastAsia="仿宋"/>
          <w:sz w:val="32"/>
          <w:szCs w:val="32"/>
        </w:rPr>
        <w:t>0。</w:t>
      </w:r>
    </w:p>
    <w:tbl>
      <w:tblPr>
        <w:tblStyle w:val="5"/>
        <w:tblW w:w="10084" w:type="dxa"/>
        <w:jc w:val="center"/>
        <w:tblLayout w:type="fixed"/>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w:t>
            </w:r>
            <w:r>
              <w:rPr>
                <w:rFonts w:hint="default" w:ascii="仿宋_GB2312" w:hAnsi="仿宋" w:eastAsia="仿宋_GB2312" w:cs="宋体"/>
                <w:bCs/>
                <w:color w:val="FF0000"/>
                <w:kern w:val="0"/>
                <w:sz w:val="28"/>
                <w:szCs w:val="28"/>
                <w:lang w:val="en-US"/>
              </w:rPr>
              <w:t>0</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b/>
                <w:kern w:val="0"/>
                <w:sz w:val="24"/>
                <w:szCs w:val="24"/>
                <w:lang w:val="en-US"/>
              </w:rPr>
            </w:pPr>
            <w:r>
              <w:rPr>
                <w:rFonts w:hint="default" w:ascii="仿宋_GB2312" w:hAnsi="仿宋" w:eastAsia="仿宋_GB2312" w:cs="宋体"/>
                <w:b/>
                <w:kern w:val="0"/>
                <w:sz w:val="24"/>
                <w:szCs w:val="24"/>
                <w:lang w:val="en-US"/>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w:t>
      </w:r>
      <w:r>
        <w:rPr>
          <w:rFonts w:hint="eastAsia" w:ascii="仿宋" w:hAnsi="仿宋" w:eastAsia="仿宋"/>
          <w:sz w:val="32"/>
          <w:szCs w:val="32"/>
          <w:lang w:eastAsia="zh-CN"/>
        </w:rPr>
        <w:t>单位</w:t>
      </w:r>
      <w:r>
        <w:rPr>
          <w:rFonts w:ascii="仿宋" w:hAnsi="仿宋" w:eastAsia="仿宋"/>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单位</w:t>
      </w:r>
      <w:r>
        <w:rPr>
          <w:rFonts w:hint="eastAsia" w:ascii="仿宋" w:hAnsi="仿宋" w:eastAsia="仿宋"/>
          <w:sz w:val="32"/>
          <w:szCs w:val="32"/>
        </w:rPr>
        <w:t>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roman"/>
    <w:pitch w:val="default"/>
    <w:sig w:usb0="00000000" w:usb1="00000000" w:usb2="0000000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0OWRmZDY2ZWM1ODcwODFkMTA3NzVhMmJjMjg0NGQifQ=="/>
  </w:docVars>
  <w:rsids>
    <w:rsidRoot w:val="00055F1F"/>
    <w:rsid w:val="00013B8A"/>
    <w:rsid w:val="00044FBC"/>
    <w:rsid w:val="00055F1F"/>
    <w:rsid w:val="000577EF"/>
    <w:rsid w:val="00057F18"/>
    <w:rsid w:val="000A445D"/>
    <w:rsid w:val="000C178B"/>
    <w:rsid w:val="00131DEC"/>
    <w:rsid w:val="00136AB3"/>
    <w:rsid w:val="001462BD"/>
    <w:rsid w:val="00152380"/>
    <w:rsid w:val="001638BE"/>
    <w:rsid w:val="00164810"/>
    <w:rsid w:val="00172C7A"/>
    <w:rsid w:val="00181777"/>
    <w:rsid w:val="001B4688"/>
    <w:rsid w:val="001B6235"/>
    <w:rsid w:val="001F4875"/>
    <w:rsid w:val="00212335"/>
    <w:rsid w:val="002918C6"/>
    <w:rsid w:val="00291EF3"/>
    <w:rsid w:val="00296524"/>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53F7E"/>
    <w:rsid w:val="00570142"/>
    <w:rsid w:val="00586C35"/>
    <w:rsid w:val="005B1B6F"/>
    <w:rsid w:val="005B6CCB"/>
    <w:rsid w:val="005C54AA"/>
    <w:rsid w:val="005C7B89"/>
    <w:rsid w:val="0062788A"/>
    <w:rsid w:val="00641F8A"/>
    <w:rsid w:val="0066383B"/>
    <w:rsid w:val="006A6FA2"/>
    <w:rsid w:val="006B5117"/>
    <w:rsid w:val="006C62DF"/>
    <w:rsid w:val="006F5104"/>
    <w:rsid w:val="006F6549"/>
    <w:rsid w:val="00735B02"/>
    <w:rsid w:val="007657C8"/>
    <w:rsid w:val="00767A77"/>
    <w:rsid w:val="00771E49"/>
    <w:rsid w:val="00782208"/>
    <w:rsid w:val="00791938"/>
    <w:rsid w:val="007A5999"/>
    <w:rsid w:val="007C7FD7"/>
    <w:rsid w:val="007F3746"/>
    <w:rsid w:val="00833132"/>
    <w:rsid w:val="00845C67"/>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A278A"/>
    <w:rsid w:val="009B6368"/>
    <w:rsid w:val="009F63C4"/>
    <w:rsid w:val="00A16957"/>
    <w:rsid w:val="00A6155C"/>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D02F97"/>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C3191"/>
    <w:rsid w:val="00FE0F1F"/>
    <w:rsid w:val="00FF61F3"/>
    <w:rsid w:val="02F95C76"/>
    <w:rsid w:val="03A50961"/>
    <w:rsid w:val="0A214432"/>
    <w:rsid w:val="0A314C05"/>
    <w:rsid w:val="0FDB6728"/>
    <w:rsid w:val="27733670"/>
    <w:rsid w:val="30CF5D17"/>
    <w:rsid w:val="3444176F"/>
    <w:rsid w:val="3D7A262E"/>
    <w:rsid w:val="41ED6F57"/>
    <w:rsid w:val="47C6128B"/>
    <w:rsid w:val="6E266BA4"/>
    <w:rsid w:val="70406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F3216C-15DA-412F-BB52-B31BA36DBF18}">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274</Words>
  <Characters>1562</Characters>
  <Lines>13</Lines>
  <Paragraphs>3</Paragraphs>
  <TotalTime>10</TotalTime>
  <ScaleCrop>false</ScaleCrop>
  <LinksUpToDate>false</LinksUpToDate>
  <CharactersWithSpaces>1833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Administrator</cp:lastModifiedBy>
  <cp:lastPrinted>2021-04-14T02:06:00Z</cp:lastPrinted>
  <dcterms:modified xsi:type="dcterms:W3CDTF">2023-11-14T02:50:47Z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06A152A86D874AC4A1491DF0111B0405</vt:lpwstr>
  </property>
</Properties>
</file>