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第一部分 瀑河乡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（一）在本行政区域内，保证宪法、法律、行政法规和省人民代表大会及其常务委员会决议的遵守和执行；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（二）领导或者主持乡人民代表大会代表的选举；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（三）召集乡人民代表大会会议；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（四）讨论、决定本行政区域内的政治、经济、教育、科学、文化、 卫生、环境和资源保护、民政、民族等工作的重大事项；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（五）根据乡人民政府的建议，决定对本行政区域内的国民经济和社会发展计划、预算的部分变更；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（六）监督乡政府，联系乡人民代表大会代表，受理人民群众对上述机关和国家工作人员的申诉和意见；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（七）撤销乡人民代表大会及其常务委员会的不适当的决议；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（八）撤销乡人民政府的不适当的决定和命令；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（九）在乡人民代表大会闭会期间，决定副乡长的个别任免；</w:t>
      </w:r>
      <w:r>
        <w:rPr>
          <w:snapToGrid w:val="0"/>
          <w:kern w:val="0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ascii="黑体" w:hAnsi="黑体" w:eastAsia="黑体"/>
          <w:snapToGrid w:val="0"/>
          <w:kern w:val="0"/>
          <w:sz w:val="28"/>
          <w:szCs w:val="28"/>
        </w:rPr>
        <w:t>1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2个。包括：政府机关和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人大常委会机关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.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 xml:space="preserve"> 2个</w:t>
      </w:r>
      <w:r>
        <w:rPr>
          <w:snapToGrid w:val="0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3.我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机构1个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56人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44人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0人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12人</w:t>
      </w:r>
      <w:r>
        <w:rPr>
          <w:snapToGrid w:val="0"/>
          <w:kern w:val="0"/>
          <w:sz w:val="28"/>
          <w:szCs w:val="28"/>
        </w:rPr>
        <w:t>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瀑河乡201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1770.65万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79.33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收783.29万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本年增加秸秆禁烧和综合利用资金、帮扶顺平扶贫资金、“三违”资金、人员调标等项目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1602.59万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49.73 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532.26万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本年增加了人员调标、气代煤经费、第一季度库区移民补贴、秸秆禁烧和综合利用资金、帮扶顺平扶贫资金、“三违”资金等项目 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167.94万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1770.65万元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1770.53万元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79.33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783.17万元，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本年增加秸秆禁烧和综合利用资金、帮扶顺平扶贫资金、“三违”资金、人员调标等项目；</w:t>
      </w:r>
      <w:bookmarkStart w:id="0" w:name="_Hlk536026015"/>
      <w:bookmarkStart w:id="1" w:name="_Hlk536026304"/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0万元；事业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0万元0</w:t>
      </w:r>
      <w:bookmarkEnd w:id="0"/>
      <w:r>
        <w:rPr>
          <w:rFonts w:hint="eastAsia"/>
          <w:snapToGrid w:val="0"/>
          <w:kern w:val="0"/>
          <w:sz w:val="28"/>
          <w:szCs w:val="28"/>
        </w:rPr>
        <w:t>；</w:t>
      </w:r>
      <w:bookmarkEnd w:id="1"/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0.12万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100 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0.12万元，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:本年度利息收入。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1602.59万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556.85万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34.75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1045.86万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65.25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1770.53万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为634.72万元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278.95 </w:t>
      </w:r>
      <w:r>
        <w:rPr>
          <w:snapToGrid w:val="0"/>
          <w:kern w:val="0"/>
          <w:sz w:val="28"/>
          <w:szCs w:val="28"/>
        </w:rPr>
        <w:t>%，主要原因：</w:t>
      </w:r>
      <w:r>
        <w:rPr>
          <w:rFonts w:hint="eastAsia"/>
          <w:snapToGrid w:val="0"/>
          <w:kern w:val="0"/>
          <w:sz w:val="28"/>
          <w:szCs w:val="28"/>
        </w:rPr>
        <w:t>本年增加秸秆禁烧和综合利用资金、帮扶顺平扶贫资金、“三违”资金、人员调标等项目。上年决算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987.36万元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rFonts w:hint="eastAsia"/>
          <w:snapToGrid w:val="0"/>
          <w:kern w:val="0"/>
          <w:sz w:val="28"/>
          <w:szCs w:val="28"/>
        </w:rPr>
        <w:t>79.33</w:t>
      </w:r>
      <w:r>
        <w:rPr>
          <w:snapToGrid w:val="0"/>
          <w:kern w:val="0"/>
          <w:sz w:val="28"/>
          <w:szCs w:val="28"/>
        </w:rPr>
        <w:t xml:space="preserve"> %，增收</w:t>
      </w:r>
      <w:r>
        <w:rPr>
          <w:rFonts w:hint="eastAsia"/>
          <w:snapToGrid w:val="0"/>
          <w:kern w:val="0"/>
          <w:sz w:val="28"/>
          <w:szCs w:val="28"/>
        </w:rPr>
        <w:t>783.3万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本年度增加了第一季度库区移民补助、气代煤资金等项目。</w:t>
      </w:r>
    </w:p>
    <w:p>
      <w:pPr>
        <w:adjustRightInd w:val="0"/>
        <w:snapToGrid w:val="0"/>
        <w:spacing w:line="600" w:lineRule="exact"/>
        <w:ind w:left="210" w:leftChars="100" w:firstLine="700" w:firstLineChars="2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1602.59万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634.72万元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252.48</w:t>
      </w:r>
      <w:r>
        <w:rPr>
          <w:snapToGrid w:val="0"/>
          <w:kern w:val="0"/>
          <w:sz w:val="28"/>
          <w:szCs w:val="28"/>
        </w:rPr>
        <w:t>%，主要原因</w:t>
      </w:r>
      <w:r>
        <w:rPr>
          <w:rFonts w:hint="eastAsia"/>
          <w:snapToGrid w:val="0"/>
          <w:kern w:val="0"/>
          <w:sz w:val="28"/>
          <w:szCs w:val="28"/>
        </w:rPr>
        <w:t>：本年度增加了气代煤经费、第一季度库区移民补贴、帮扶顺平扶贫资金等项目。上年决算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1070.33万元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49.73</w:t>
      </w:r>
      <w:r>
        <w:rPr>
          <w:snapToGrid w:val="0"/>
          <w:kern w:val="0"/>
          <w:sz w:val="28"/>
          <w:szCs w:val="28"/>
        </w:rPr>
        <w:t xml:space="preserve"> %，增支</w:t>
      </w:r>
      <w:r>
        <w:rPr>
          <w:rFonts w:hint="eastAsia"/>
          <w:snapToGrid w:val="0"/>
          <w:kern w:val="0"/>
          <w:sz w:val="28"/>
          <w:szCs w:val="28"/>
        </w:rPr>
        <w:t>532.26万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>是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本年增加了人员调标、气代煤经费、第一季度库区移民补贴、秸秆禁烧和综合利用资金、帮扶顺平扶贫资金、“三违”资金等项目。</w:t>
      </w:r>
    </w:p>
    <w:p>
      <w:pPr>
        <w:adjustRightInd w:val="0"/>
        <w:snapToGrid w:val="0"/>
        <w:spacing w:line="600" w:lineRule="exact"/>
        <w:ind w:firstLine="700" w:firstLineChars="2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167.94万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700" w:firstLineChars="25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我单位无国有资本经营预算收支。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17.39万元，</w:t>
      </w:r>
      <w:r>
        <w:rPr>
          <w:snapToGrid w:val="0"/>
          <w:kern w:val="0"/>
          <w:sz w:val="28"/>
          <w:szCs w:val="28"/>
        </w:rPr>
        <w:t>较2016</w:t>
      </w:r>
      <w:r>
        <w:rPr>
          <w:rFonts w:hint="eastAsia"/>
          <w:snapToGrid w:val="0"/>
          <w:kern w:val="0"/>
          <w:sz w:val="28"/>
          <w:szCs w:val="28"/>
        </w:rPr>
        <w:t>年增加4.56万元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增加35.53</w:t>
      </w:r>
      <w:r>
        <w:rPr>
          <w:snapToGrid w:val="0"/>
          <w:kern w:val="0"/>
          <w:sz w:val="28"/>
          <w:szCs w:val="28"/>
        </w:rPr>
        <w:t xml:space="preserve"> %。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增加0 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年增加0万元，减少0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：未发生此部分费用。因公出国（境）团组0个，因公出国（境）人次数0人。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13.03万元。（201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3辆。）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年增加0万元，增加0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主要原因：本年度未购置新车。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公务用车运行维护费本年支出13.03万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加4.03万元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增加44.78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年增加84.33万元，主要原因上年度上半年公车是2辆，下半年是3辆，本年度公车是3辆。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年公务接待费全年支出4.36万元，较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减少1.34万元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减少23.5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年减少1.4万元，减少2</w:t>
      </w:r>
      <w:r>
        <w:rPr>
          <w:snapToGrid w:val="0"/>
          <w:kern w:val="0"/>
          <w:sz w:val="28"/>
          <w:szCs w:val="28"/>
        </w:rPr>
        <w:t>4.34%</w:t>
      </w:r>
      <w:r>
        <w:rPr>
          <w:rFonts w:hint="eastAsia"/>
          <w:snapToGrid w:val="0"/>
          <w:kern w:val="0"/>
          <w:sz w:val="28"/>
          <w:szCs w:val="28"/>
        </w:rPr>
        <w:t>主要原因：本年度降低了接待标准。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国内公务接待批次:135个，国内公务接待人次1245人；国外公务接待批次0个，国外公务接待人次0人。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（一）预算绩效管理工作开展情况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根据区财政预算绩效管理要求，我单位以“部门职责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（二）预算项目绩效评价开展情况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区财政预算绩效管理要求，我单位对2017年初确定的部门一般公共预算支出专项项目全面开展了绩效自评。省财政厅部门决算专项项目4项，共涉及预算资金56万元，绩效自评覆盖率达到100%。较好的完成了各项绩效指标，年底通过绩效评价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（三）预算项目绩效自评选例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瀑河乡2017年土地、矿山巡查项目，该项目年初预算安排2万元，截至年末实际支出2万元。 “2017年土地、矿山巡查”项目。是贯彻落实中央和省委、省政府土地管理政策，进一步促进现有土地、矿山合理利用政策。我单位积极推动此项工作的开展。按照区财政局要求和项目实施目的，设定该项目产出指标为对全乡的土地、矿山巡查是否全部覆盖，巡查的比例是否在95%以上；设定效果指标为巡查面积是否超过 90%，巡查满意度是否超过 95%。项目完成情况较好，绩效自评等级为“优”。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年本部门机关运行经费支出57.74万元，比201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72.22万元，下降55.58%。主要原因是：本年度压减了机关运行经费。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202.87万元，其中办公费27.16万元、印刷费0万元、手续费0.02万元、水费0万元、电费4.5万元、邮电费8.88万元、取暖费4.12万元、差旅费7.29万元、维修（护）费0万元、会议费0万元、劳务费66.82万元、培训费0万元、公务接待费4.36万元、工会经费2.39万元、福利费0.18万元、公务用车运行维护费13.04万元、其他交通费8.69万元、其他商品和服务支出55.42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年政府采购预算总额为130万元，主要包括政府采购货物70万元，工程60万元及服务0万元。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年本部门政府采购支出总额128.86万元，其中：政府采购货物支出69.33万元、政府采购工程支出59.53万元、政府采购服务支出0万元。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年末固定资产总额为264.79万元，主要包括房屋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1432.31平方米价值59.5万元，车辆3辆价值43.84万元，单价在0.1万元以上的通用设备0万元，及其他固定资产161.45万元。 </w:t>
      </w:r>
    </w:p>
    <w:p>
      <w:pPr>
        <w:pStyle w:val="7"/>
        <w:adjustRightInd w:val="0"/>
        <w:snapToGrid w:val="0"/>
        <w:spacing w:line="600" w:lineRule="exact"/>
        <w:ind w:left="315" w:leftChars="150" w:firstLine="280" w:firstLineChars="1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年资产变动情况：固定资产增加3.69万元，包括房屋增加0万元,车辆增加0万元，单价在50万元以上的通用设备增加3.69万元，其他固定资产增加0万元。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1、财政拨款收入：本年度从本级财政部门取得的财政拨款，包括一般公共预算财政拨款和政府性基金预算财政拨款。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2、事业收入：指事业单位开展专业业务活动及辅助活动所取得的收入。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3、其他收入：指除上述“财政拨款收入”、“事业收入”、“经营收入”等以外的收入。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30CD8"/>
    <w:rsid w:val="00044B6B"/>
    <w:rsid w:val="00072183"/>
    <w:rsid w:val="000818B7"/>
    <w:rsid w:val="001041EE"/>
    <w:rsid w:val="0015089B"/>
    <w:rsid w:val="00152908"/>
    <w:rsid w:val="00195F40"/>
    <w:rsid w:val="001B7156"/>
    <w:rsid w:val="001C673D"/>
    <w:rsid w:val="001D5015"/>
    <w:rsid w:val="001E086F"/>
    <w:rsid w:val="001E4C21"/>
    <w:rsid w:val="001E68F2"/>
    <w:rsid w:val="001F1316"/>
    <w:rsid w:val="00271FE8"/>
    <w:rsid w:val="0028058D"/>
    <w:rsid w:val="003277A3"/>
    <w:rsid w:val="00345061"/>
    <w:rsid w:val="00372DF7"/>
    <w:rsid w:val="003A3DED"/>
    <w:rsid w:val="003F0B48"/>
    <w:rsid w:val="003F3B34"/>
    <w:rsid w:val="003F5B92"/>
    <w:rsid w:val="00400D90"/>
    <w:rsid w:val="00441508"/>
    <w:rsid w:val="00441C59"/>
    <w:rsid w:val="00471A6A"/>
    <w:rsid w:val="00495E54"/>
    <w:rsid w:val="004C0263"/>
    <w:rsid w:val="004E2C8D"/>
    <w:rsid w:val="004F199B"/>
    <w:rsid w:val="00553CC3"/>
    <w:rsid w:val="0058572E"/>
    <w:rsid w:val="005B3169"/>
    <w:rsid w:val="0060361A"/>
    <w:rsid w:val="00623396"/>
    <w:rsid w:val="0063190C"/>
    <w:rsid w:val="00654891"/>
    <w:rsid w:val="006976E1"/>
    <w:rsid w:val="006A1A92"/>
    <w:rsid w:val="006A2562"/>
    <w:rsid w:val="006A63A8"/>
    <w:rsid w:val="006B564B"/>
    <w:rsid w:val="006D423E"/>
    <w:rsid w:val="006E48FE"/>
    <w:rsid w:val="006E71D0"/>
    <w:rsid w:val="00791B38"/>
    <w:rsid w:val="008026BF"/>
    <w:rsid w:val="0082704B"/>
    <w:rsid w:val="008423F5"/>
    <w:rsid w:val="00842CBB"/>
    <w:rsid w:val="0087069D"/>
    <w:rsid w:val="008E09D2"/>
    <w:rsid w:val="00933AC5"/>
    <w:rsid w:val="00945A4B"/>
    <w:rsid w:val="00945D0B"/>
    <w:rsid w:val="0097570E"/>
    <w:rsid w:val="00985214"/>
    <w:rsid w:val="009B74FB"/>
    <w:rsid w:val="00A30372"/>
    <w:rsid w:val="00A372C2"/>
    <w:rsid w:val="00AA21A2"/>
    <w:rsid w:val="00AF4C4B"/>
    <w:rsid w:val="00B005DA"/>
    <w:rsid w:val="00B17297"/>
    <w:rsid w:val="00B40ED6"/>
    <w:rsid w:val="00B70F0D"/>
    <w:rsid w:val="00C07E97"/>
    <w:rsid w:val="00C222CB"/>
    <w:rsid w:val="00C31182"/>
    <w:rsid w:val="00C36E6C"/>
    <w:rsid w:val="00C82568"/>
    <w:rsid w:val="00CA2480"/>
    <w:rsid w:val="00CB45AA"/>
    <w:rsid w:val="00CC2467"/>
    <w:rsid w:val="00D1209A"/>
    <w:rsid w:val="00D6325B"/>
    <w:rsid w:val="00D8365F"/>
    <w:rsid w:val="00D9008B"/>
    <w:rsid w:val="00D90142"/>
    <w:rsid w:val="00DB53AC"/>
    <w:rsid w:val="00DB7E7C"/>
    <w:rsid w:val="00DC5EA2"/>
    <w:rsid w:val="00E71A30"/>
    <w:rsid w:val="00E97CD1"/>
    <w:rsid w:val="00EB6901"/>
    <w:rsid w:val="00EC444E"/>
    <w:rsid w:val="00EC5926"/>
    <w:rsid w:val="00F00F83"/>
    <w:rsid w:val="00F56B07"/>
    <w:rsid w:val="00F7078F"/>
    <w:rsid w:val="00F970B6"/>
    <w:rsid w:val="00FD4579"/>
    <w:rsid w:val="064A3FAD"/>
    <w:rsid w:val="0B6A15E4"/>
    <w:rsid w:val="0D6054DA"/>
    <w:rsid w:val="1AF90D88"/>
    <w:rsid w:val="1F545778"/>
    <w:rsid w:val="3C1144AC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498</Words>
  <Characters>2840</Characters>
  <Lines>23</Lines>
  <Paragraphs>6</Paragraphs>
  <TotalTime>45</TotalTime>
  <ScaleCrop>false</ScaleCrop>
  <LinksUpToDate>false</LinksUpToDate>
  <CharactersWithSpaces>3332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2019-03-09T06:00:00Z</dcterms:created>
  <dc:creator>yuanxiaowei</dc:creator>
  <cp:lastModifiedBy>WPS_1629592903</cp:lastModifiedBy>
  <cp:lastPrinted>2017-08-29T03:35:00Z</cp:lastPrinted>
  <dcterms:modified xsi:type="dcterms:W3CDTF">2023-11-10T02:44:48Z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C51B871A73ED44A983B600B1776D68FF</vt:lpwstr>
  </property>
</Properties>
</file>