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保定市徐水区人力资源和社会保障局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下属事业单位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下属事业单位</w:t>
      </w:r>
      <w:r>
        <w:rPr>
          <w:rFonts w:ascii="方正小标宋_GBK" w:eastAsia="方正小标宋_GBK"/>
          <w:sz w:val="44"/>
        </w:rPr>
        <w:t>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部门职责</w:t>
      </w:r>
    </w:p>
    <w:p>
      <w:pPr>
        <w:spacing w:line="500" w:lineRule="exact"/>
        <w:ind w:firstLine="560" w:firstLineChars="200"/>
        <w:jc w:val="left"/>
        <w:rPr>
          <w:rFonts w:ascii="Times New Roman" w:hAnsi="等线" w:eastAsia="方正仿宋_GBK" w:cs="Times New Roman"/>
          <w:sz w:val="28"/>
        </w:rPr>
      </w:pPr>
      <w:r>
        <w:rPr>
          <w:rFonts w:hint="eastAsia" w:ascii="Times New Roman" w:hAnsi="等线" w:eastAsia="方正仿宋_GBK" w:cs="Times New Roman"/>
          <w:sz w:val="28"/>
        </w:rPr>
        <w:t>根据《保定市徐水区人力资源和社会保障局职能配置、内设机构和人员编制规定》，</w:t>
      </w:r>
      <w:r>
        <w:rPr>
          <w:rFonts w:ascii="Times New Roman" w:hAnsi="等线" w:eastAsia="方正仿宋_GBK" w:cs="Times New Roman"/>
          <w:sz w:val="28"/>
        </w:rPr>
        <w:t xml:space="preserve"> 保定市徐水区人力资源和社会保障局的主要职责是：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（一）负责促进就业工作，拟定就业发展规划和促进就业扶持政策，完善就业服务体系，促进公平就业，统筹建立面向城乡劳动者的职业技能培训制度，加强就业服务和就业培训，拟定就业援助制度。</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（二）统筹推进多层次的社会保障体系，落实职工基本养老保险政策，城乡居民养老保险和机关事业单位人员养老保险制度改革配套政策，组织和实施劳动关系的调节、仲裁、信访。</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统筹拟定劳动、人事争议调解仲裁和劳动关系政策，完善劳动关系协商协调机制，拟定职工工作时间、休息休假和假期相关政策，组织实施劳动保障监察，协调劳动者维权工作，定期对各成员单位工作开展情况进行搜集、整理、上报。</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（四）确保事业单位公开招聘公平、公正，提高招聘科学性。继续实行招聘公共、教育、卫生等分类考试，全面推行新版聘用合同，做到“应签尽签”。做好事业单位考核、奖惩，申诉控告岗位统计等工作。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（五）负责就业扶贫，部分人员可享受相关扶持政策，保持全区就业形态稳定和社会保险基金总体收支平衡。</w:t>
      </w:r>
    </w:p>
    <w:p>
      <w:pPr>
        <w:spacing w:line="360" w:lineRule="auto"/>
        <w:ind w:firstLine="560" w:firstLineChars="200"/>
        <w:rPr>
          <w:rFonts w:ascii="仿宋" w:hAnsi="仿宋" w:eastAsia="仿宋"/>
          <w:sz w:val="32"/>
          <w:szCs w:val="32"/>
        </w:rPr>
      </w:pPr>
      <w:r>
        <w:rPr>
          <w:rFonts w:ascii="Times New Roman" w:hAnsi="等线" w:eastAsia="方正仿宋_GBK" w:cs="Times New Roman"/>
          <w:sz w:val="28"/>
        </w:rPr>
        <w:t>（六）创业担保贷款担保基金，建立健全职业指导、职业介绍、就业创业服务、人力资源市场、毕业生就业等公共就业服务体系，建立基层人力资源和社会保障服务平台，完善人事档案公共服务，开展人力资源服务业、家庭服务业工作、就业服务指导。保持全区就业形态稳定和社会保险基金总体收支平衡。</w:t>
      </w: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保定市徐水区就业服务局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rPr>
              <w:t>副科级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ascii="仿宋_GB2312" w:hAnsi="仿宋" w:eastAsia="仿宋_GB2312"/>
                <w:bCs/>
                <w:sz w:val="24"/>
                <w:szCs w:val="24"/>
              </w:rPr>
              <w:t>2</w:t>
            </w:r>
          </w:p>
        </w:tc>
        <w:tc>
          <w:tcPr>
            <w:tcW w:w="2692" w:type="dxa"/>
            <w:tcBorders>
              <w:top w:val="single" w:color="auto" w:sz="4" w:space="0"/>
              <w:bottom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保定市徐水区社会保险事业管理局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ascii="仿宋_GB2312" w:hAnsi="仿宋" w:eastAsia="仿宋_GB2312"/>
                <w:bCs/>
                <w:sz w:val="24"/>
                <w:szCs w:val="24"/>
              </w:rPr>
              <w:t>3</w:t>
            </w:r>
          </w:p>
        </w:tc>
        <w:tc>
          <w:tcPr>
            <w:tcW w:w="2692" w:type="dxa"/>
            <w:tcBorders>
              <w:top w:val="single" w:color="auto" w:sz="4" w:space="0"/>
              <w:bottom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保定市徐水区劳动监察大队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rPr>
                <w:rFonts w:ascii="仿宋_GB2312" w:hAnsi="仿宋" w:eastAsia="仿宋_GB2312"/>
                <w:bCs/>
                <w:sz w:val="24"/>
                <w:szCs w:val="24"/>
              </w:rPr>
            </w:pPr>
            <w:r>
              <w:rPr>
                <w:rFonts w:hint="eastAsia" w:ascii="仿宋_GB2312" w:hAnsi="仿宋" w:eastAsia="仿宋_GB2312"/>
                <w:bCs/>
                <w:sz w:val="24"/>
                <w:szCs w:val="24"/>
              </w:rPr>
              <w:t xml:space="preserve"> </w:t>
            </w:r>
            <w:r>
              <w:rPr>
                <w:rFonts w:ascii="仿宋_GB2312" w:hAnsi="仿宋" w:eastAsia="仿宋_GB2312"/>
                <w:bCs/>
                <w:sz w:val="24"/>
                <w:szCs w:val="24"/>
              </w:rPr>
              <w:t xml:space="preserve">  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保定市徐水区被征地农民养老保险中心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第二部分：下属事业单位预算安排的总体情况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2022年预算收入为916.15万元,其中：一般公共预算收入916.15万元，基金预算收入0万元，财政专户收入0万元，其他来源收入0万元。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2022年部门支出预算：916.15万元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916.15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其中：人员经费889.12万元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日常公用经费27.03万元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本年度预算收支安排</w:t>
      </w:r>
      <w:r>
        <w:rPr>
          <w:rFonts w:ascii="仿宋" w:hAnsi="仿宋" w:eastAsia="仿宋"/>
          <w:color w:val="000000" w:themeColor="text1"/>
          <w:sz w:val="32"/>
          <w:szCs w:val="32"/>
        </w:rPr>
        <w:t>916.15</w:t>
      </w:r>
      <w:r>
        <w:rPr>
          <w:rFonts w:hint="eastAsia" w:ascii="仿宋" w:hAnsi="仿宋" w:eastAsia="仿宋"/>
          <w:color w:val="000000" w:themeColor="text1"/>
          <w:sz w:val="32"/>
          <w:szCs w:val="32"/>
        </w:rPr>
        <w:t>万元，较上年增加</w:t>
      </w:r>
      <w:r>
        <w:rPr>
          <w:rFonts w:ascii="仿宋" w:hAnsi="仿宋" w:eastAsia="仿宋"/>
          <w:color w:val="000000" w:themeColor="text1"/>
          <w:sz w:val="32"/>
          <w:szCs w:val="32"/>
        </w:rPr>
        <w:t>392.20万元。其中:基本支出</w:t>
      </w:r>
      <w:r>
        <w:rPr>
          <w:rFonts w:hint="eastAsia" w:ascii="仿宋" w:hAnsi="仿宋" w:eastAsia="仿宋"/>
          <w:color w:val="000000" w:themeColor="text1"/>
          <w:sz w:val="32"/>
          <w:szCs w:val="32"/>
        </w:rPr>
        <w:t>增加</w:t>
      </w:r>
      <w:r>
        <w:rPr>
          <w:rFonts w:ascii="仿宋" w:hAnsi="仿宋" w:eastAsia="仿宋"/>
          <w:color w:val="000000" w:themeColor="text1"/>
          <w:sz w:val="32"/>
          <w:szCs w:val="32"/>
        </w:rPr>
        <w:t>392.20万元，主要原因是</w:t>
      </w:r>
      <w:r>
        <w:rPr>
          <w:rFonts w:hint="eastAsia" w:ascii="仿宋" w:hAnsi="仿宋" w:eastAsia="仿宋"/>
          <w:color w:val="000000" w:themeColor="text1"/>
          <w:sz w:val="32"/>
          <w:szCs w:val="32"/>
        </w:rPr>
        <w:t>新增考录及调入人员。</w:t>
      </w:r>
      <w:r>
        <w:rPr>
          <w:rFonts w:ascii="仿宋" w:hAnsi="仿宋" w:eastAsia="仿宋"/>
          <w:color w:val="000000" w:themeColor="text1"/>
          <w:sz w:val="32"/>
          <w:szCs w:val="32"/>
        </w:rPr>
        <w:t xml:space="preserve"> </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下属事业单位</w:t>
      </w:r>
      <w:r>
        <w:rPr>
          <w:rFonts w:ascii="仿宋" w:hAnsi="仿宋" w:eastAsia="仿宋"/>
          <w:sz w:val="32"/>
          <w:szCs w:val="32"/>
        </w:rPr>
        <w:t>机关运行经费安排26.74万元，其中办公费14.31万元，邮电费0.57万元，工会经费、福利费11.86万元，公务用车运行维护费0万元</w:t>
      </w:r>
      <w:r>
        <w:rPr>
          <w:rFonts w:hint="eastAsia" w:ascii="仿宋" w:hAnsi="仿宋" w:eastAsia="仿宋"/>
          <w:sz w:val="32"/>
          <w:szCs w:val="32"/>
        </w:rPr>
        <w:t>，</w:t>
      </w:r>
      <w:r>
        <w:rPr>
          <w:rFonts w:ascii="仿宋" w:hAnsi="仿宋" w:eastAsia="仿宋"/>
          <w:sz w:val="32"/>
          <w:szCs w:val="32"/>
        </w:rPr>
        <w:t>其他支</w:t>
      </w:r>
      <w:r>
        <w:rPr>
          <w:rFonts w:ascii="仿宋" w:hAnsi="仿宋" w:eastAsia="仿宋"/>
          <w:color w:val="000000" w:themeColor="text1"/>
          <w:sz w:val="32"/>
          <w:szCs w:val="32"/>
        </w:rPr>
        <w:t>出0万</w:t>
      </w:r>
      <w:r>
        <w:rPr>
          <w:rFonts w:ascii="仿宋" w:hAnsi="仿宋" w:eastAsia="仿宋"/>
          <w:sz w:val="32"/>
          <w:szCs w:val="32"/>
        </w:rPr>
        <w:t>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highlight w:val="yellow"/>
                    </w:rPr>
                  </w:pPr>
                  <w:r>
                    <w:rPr>
                      <w:rFonts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p>
                  <w:pPr>
                    <w:widowControl/>
                    <w:jc w:val="center"/>
                    <w:rPr>
                      <w:rFonts w:ascii="仿宋_GB2312" w:hAnsi="宋体" w:eastAsia="仿宋_GB2312" w:cs="宋体"/>
                      <w:color w:val="000000" w:themeColor="text1"/>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p>
                  <w:pPr>
                    <w:widowControl/>
                    <w:jc w:val="center"/>
                    <w:rPr>
                      <w:rFonts w:ascii="仿宋_GB2312" w:hAnsi="宋体" w:eastAsia="仿宋_GB2312" w:cs="宋体"/>
                      <w:color w:val="000000" w:themeColor="text1"/>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bookmarkStart w:id="1" w:name="_GoBack" w:colFirst="1" w:colLast="4"/>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lang w:val="en-US" w:eastAsia="zh-CN" w:bidi="ar-SA"/>
                    </w:rPr>
                  </w:pPr>
                  <w:r>
                    <w:rPr>
                      <w:rFonts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0</w:t>
                  </w:r>
                </w:p>
                <w:p>
                  <w:pPr>
                    <w:widowControl/>
                    <w:jc w:val="center"/>
                    <w:rPr>
                      <w:rFonts w:ascii="仿宋_GB2312" w:hAnsi="宋体" w:eastAsia="仿宋_GB2312" w:cs="宋体"/>
                      <w:color w:val="000000" w:themeColor="text1"/>
                      <w:kern w:val="0"/>
                      <w:sz w:val="24"/>
                      <w:szCs w:val="24"/>
                      <w:lang w:val="en-US" w:eastAsia="zh-CN" w:bidi="ar-SA"/>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lang w:val="en-US" w:eastAsia="zh-CN" w:bidi="ar-SA"/>
                    </w:rPr>
                  </w:pPr>
                  <w:r>
                    <w:rPr>
                      <w:rFonts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bookmarkEnd w:id="1"/>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sectPr>
          <w:pgSz w:w="11900" w:h="16840"/>
          <w:pgMar w:top="1984" w:right="1304" w:bottom="1134" w:left="1304" w:header="720" w:footer="720" w:gutter="0"/>
          <w:pgNumType w:start="1"/>
          <w:cols w:space="720" w:num="1"/>
        </w:sectPr>
      </w:pPr>
      <w:r>
        <w:rPr>
          <w:rFonts w:hint="eastAsia" w:ascii="仿宋" w:hAnsi="仿宋" w:eastAsia="仿宋"/>
          <w:sz w:val="32"/>
          <w:szCs w:val="32"/>
        </w:rPr>
        <w:t>2022年下属事业</w:t>
      </w:r>
      <w:r>
        <w:rPr>
          <w:rFonts w:ascii="仿宋" w:hAnsi="仿宋" w:eastAsia="仿宋"/>
          <w:sz w:val="32"/>
          <w:szCs w:val="32"/>
        </w:rPr>
        <w:t>单位无</w:t>
      </w:r>
      <w:r>
        <w:rPr>
          <w:rFonts w:hint="eastAsia" w:ascii="仿宋" w:hAnsi="仿宋" w:eastAsia="仿宋"/>
          <w:sz w:val="32"/>
          <w:szCs w:val="32"/>
        </w:rPr>
        <w:t>项目预算收支</w:t>
      </w:r>
      <w:r>
        <w:rPr>
          <w:rFonts w:ascii="仿宋" w:hAnsi="仿宋" w:eastAsia="仿宋"/>
          <w:sz w:val="32"/>
          <w:szCs w:val="32"/>
        </w:rPr>
        <w:t>情</w:t>
      </w:r>
      <w:r>
        <w:rPr>
          <w:rFonts w:hint="eastAsia" w:ascii="仿宋" w:hAnsi="仿宋" w:eastAsia="仿宋"/>
          <w:sz w:val="32"/>
          <w:szCs w:val="32"/>
        </w:rPr>
        <w:t>况。</w:t>
      </w:r>
      <w:r>
        <w:rPr>
          <w:rFonts w:ascii="方正书宋_GBK" w:hAnsi="方正书宋_GBK" w:eastAsia="方正书宋_GBK" w:cs="方正书宋_GBK"/>
          <w:color w:val="000000"/>
        </w:rPr>
        <w:t xml:space="preserve"> </w:t>
      </w: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下属事业单位</w:t>
      </w:r>
      <w:r>
        <w:rPr>
          <w:rFonts w:ascii="仿宋" w:hAnsi="仿宋" w:eastAsia="仿宋"/>
          <w:sz w:val="32"/>
          <w:szCs w:val="32"/>
        </w:rPr>
        <w:t>无政府采购预算，空表列示。</w:t>
      </w:r>
    </w:p>
    <w:p>
      <w:pPr>
        <w:spacing w:line="360" w:lineRule="auto"/>
        <w:rPr>
          <w:rFonts w:ascii="仿宋" w:hAnsi="仿宋" w:eastAsia="仿宋"/>
          <w:sz w:val="32"/>
          <w:szCs w:val="32"/>
        </w:rPr>
      </w:pPr>
    </w:p>
    <w:tbl>
      <w:tblPr>
        <w:tblStyle w:val="5"/>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0" w:name="RANGE!A1"/>
            <w:r>
              <w:rPr>
                <w:rFonts w:hint="eastAsia" w:ascii="宋体" w:hAnsi="宋体" w:eastAsia="宋体" w:cs="宋体"/>
                <w:color w:val="000000"/>
                <w:kern w:val="0"/>
                <w:sz w:val="32"/>
                <w:szCs w:val="32"/>
              </w:rPr>
              <w:t>下属事业单位政府采购预算</w:t>
            </w:r>
            <w:bookmarkEnd w:id="0"/>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XX</w:t>
            </w:r>
            <w:r>
              <w:rPr>
                <w:rFonts w:hint="eastAsia" w:ascii="宋体" w:hAnsi="宋体" w:eastAsia="宋体" w:cs="Times New Roman"/>
                <w:color w:val="000000"/>
                <w:kern w:val="0"/>
                <w:sz w:val="24"/>
                <w:szCs w:val="24"/>
              </w:rPr>
              <w:t>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上年末我下属事业单位固定资产总金额为0万元（详见下表）。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我下属事业单位本年度无国有资产购置计划，拟购置金额为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rPr>
              <w:t>2021</w:t>
            </w:r>
            <w:r>
              <w:rPr>
                <w:rFonts w:hint="eastAsia" w:ascii="仿宋_GB2312" w:hAnsi="仿宋" w:eastAsia="仿宋_GB2312" w:cs="宋体"/>
                <w:bCs/>
                <w:color w:val="000000" w:themeColor="text1"/>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我下属单位无其他需说明的事项。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255D4"/>
    <w:multiLevelType w:val="multilevel"/>
    <w:tmpl w:val="744255D4"/>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77D9A"/>
    <w:rsid w:val="000915A7"/>
    <w:rsid w:val="000A3008"/>
    <w:rsid w:val="000A445D"/>
    <w:rsid w:val="000A76E0"/>
    <w:rsid w:val="000B2A73"/>
    <w:rsid w:val="000C178B"/>
    <w:rsid w:val="000C5AF4"/>
    <w:rsid w:val="00131DEC"/>
    <w:rsid w:val="00136AB3"/>
    <w:rsid w:val="001462BD"/>
    <w:rsid w:val="00152380"/>
    <w:rsid w:val="00152781"/>
    <w:rsid w:val="00156C34"/>
    <w:rsid w:val="001638BE"/>
    <w:rsid w:val="00164810"/>
    <w:rsid w:val="00172C7A"/>
    <w:rsid w:val="00181777"/>
    <w:rsid w:val="00182AD6"/>
    <w:rsid w:val="001B4688"/>
    <w:rsid w:val="001B6235"/>
    <w:rsid w:val="001E7B7C"/>
    <w:rsid w:val="001F4875"/>
    <w:rsid w:val="00212335"/>
    <w:rsid w:val="002918C6"/>
    <w:rsid w:val="00291EF3"/>
    <w:rsid w:val="00296524"/>
    <w:rsid w:val="002E01F6"/>
    <w:rsid w:val="002F1ACB"/>
    <w:rsid w:val="002F2444"/>
    <w:rsid w:val="002F530F"/>
    <w:rsid w:val="00305E97"/>
    <w:rsid w:val="00310532"/>
    <w:rsid w:val="0031511D"/>
    <w:rsid w:val="0032782B"/>
    <w:rsid w:val="00340B3D"/>
    <w:rsid w:val="0034253A"/>
    <w:rsid w:val="003624E7"/>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964C2"/>
    <w:rsid w:val="004B6929"/>
    <w:rsid w:val="004D45DD"/>
    <w:rsid w:val="004E2F43"/>
    <w:rsid w:val="004E3572"/>
    <w:rsid w:val="004F3C52"/>
    <w:rsid w:val="00510A1E"/>
    <w:rsid w:val="005158E2"/>
    <w:rsid w:val="00524204"/>
    <w:rsid w:val="00550049"/>
    <w:rsid w:val="00553F7E"/>
    <w:rsid w:val="005572D8"/>
    <w:rsid w:val="00570142"/>
    <w:rsid w:val="00586C35"/>
    <w:rsid w:val="005919A9"/>
    <w:rsid w:val="005B1B6F"/>
    <w:rsid w:val="005B6CCB"/>
    <w:rsid w:val="005C54AA"/>
    <w:rsid w:val="005C7B89"/>
    <w:rsid w:val="0062788A"/>
    <w:rsid w:val="00632A8B"/>
    <w:rsid w:val="00641F8A"/>
    <w:rsid w:val="0064615D"/>
    <w:rsid w:val="0066383B"/>
    <w:rsid w:val="00670BB8"/>
    <w:rsid w:val="006A6FA2"/>
    <w:rsid w:val="006B5117"/>
    <w:rsid w:val="006C55A3"/>
    <w:rsid w:val="006C62DF"/>
    <w:rsid w:val="006D2619"/>
    <w:rsid w:val="006F5104"/>
    <w:rsid w:val="006F6549"/>
    <w:rsid w:val="00700E3A"/>
    <w:rsid w:val="00721288"/>
    <w:rsid w:val="00735B02"/>
    <w:rsid w:val="00746097"/>
    <w:rsid w:val="007657C8"/>
    <w:rsid w:val="00767A77"/>
    <w:rsid w:val="00771E49"/>
    <w:rsid w:val="00776D7C"/>
    <w:rsid w:val="00782208"/>
    <w:rsid w:val="00791938"/>
    <w:rsid w:val="007A5999"/>
    <w:rsid w:val="007C7FD7"/>
    <w:rsid w:val="007F3746"/>
    <w:rsid w:val="00833132"/>
    <w:rsid w:val="00845C67"/>
    <w:rsid w:val="00845EF6"/>
    <w:rsid w:val="00846ED5"/>
    <w:rsid w:val="0086454E"/>
    <w:rsid w:val="008672EA"/>
    <w:rsid w:val="008910A6"/>
    <w:rsid w:val="00891680"/>
    <w:rsid w:val="008A0099"/>
    <w:rsid w:val="008A0B5F"/>
    <w:rsid w:val="008A1C08"/>
    <w:rsid w:val="008A2155"/>
    <w:rsid w:val="008A354D"/>
    <w:rsid w:val="008B18F1"/>
    <w:rsid w:val="008B52C1"/>
    <w:rsid w:val="008B5402"/>
    <w:rsid w:val="008D0309"/>
    <w:rsid w:val="008D11BC"/>
    <w:rsid w:val="008F73EF"/>
    <w:rsid w:val="0090527E"/>
    <w:rsid w:val="00905BB7"/>
    <w:rsid w:val="0090620C"/>
    <w:rsid w:val="00912DA4"/>
    <w:rsid w:val="009302B8"/>
    <w:rsid w:val="009305C6"/>
    <w:rsid w:val="009752AE"/>
    <w:rsid w:val="00982F3D"/>
    <w:rsid w:val="00983232"/>
    <w:rsid w:val="009A278A"/>
    <w:rsid w:val="009B6368"/>
    <w:rsid w:val="009F63C4"/>
    <w:rsid w:val="00A0567D"/>
    <w:rsid w:val="00A16957"/>
    <w:rsid w:val="00A6155C"/>
    <w:rsid w:val="00A64546"/>
    <w:rsid w:val="00A66622"/>
    <w:rsid w:val="00A74CA8"/>
    <w:rsid w:val="00A8079E"/>
    <w:rsid w:val="00A90328"/>
    <w:rsid w:val="00A92D66"/>
    <w:rsid w:val="00AA4262"/>
    <w:rsid w:val="00AB5A90"/>
    <w:rsid w:val="00AB7449"/>
    <w:rsid w:val="00AC6F4B"/>
    <w:rsid w:val="00AE4AA5"/>
    <w:rsid w:val="00AE7FA9"/>
    <w:rsid w:val="00B12E47"/>
    <w:rsid w:val="00B147EB"/>
    <w:rsid w:val="00B22155"/>
    <w:rsid w:val="00B76AA9"/>
    <w:rsid w:val="00B80FAB"/>
    <w:rsid w:val="00B81C88"/>
    <w:rsid w:val="00B9406B"/>
    <w:rsid w:val="00BA5C83"/>
    <w:rsid w:val="00BB778A"/>
    <w:rsid w:val="00BC6A7D"/>
    <w:rsid w:val="00BD4829"/>
    <w:rsid w:val="00BD6002"/>
    <w:rsid w:val="00BD719F"/>
    <w:rsid w:val="00BE0306"/>
    <w:rsid w:val="00BE267D"/>
    <w:rsid w:val="00BF5442"/>
    <w:rsid w:val="00C177A5"/>
    <w:rsid w:val="00C23AA3"/>
    <w:rsid w:val="00C3401F"/>
    <w:rsid w:val="00C35FEE"/>
    <w:rsid w:val="00C4640A"/>
    <w:rsid w:val="00C50535"/>
    <w:rsid w:val="00C6153C"/>
    <w:rsid w:val="00C863B6"/>
    <w:rsid w:val="00C906EF"/>
    <w:rsid w:val="00CC7D74"/>
    <w:rsid w:val="00D02F97"/>
    <w:rsid w:val="00D45530"/>
    <w:rsid w:val="00D45A0E"/>
    <w:rsid w:val="00D45D23"/>
    <w:rsid w:val="00D52B80"/>
    <w:rsid w:val="00D57E11"/>
    <w:rsid w:val="00D723D1"/>
    <w:rsid w:val="00D80C60"/>
    <w:rsid w:val="00D84077"/>
    <w:rsid w:val="00D8525F"/>
    <w:rsid w:val="00DA0C4D"/>
    <w:rsid w:val="00DA5DA7"/>
    <w:rsid w:val="00DE3935"/>
    <w:rsid w:val="00DE6B32"/>
    <w:rsid w:val="00DF26B8"/>
    <w:rsid w:val="00E12C68"/>
    <w:rsid w:val="00E2325B"/>
    <w:rsid w:val="00E24075"/>
    <w:rsid w:val="00E270C9"/>
    <w:rsid w:val="00E35F38"/>
    <w:rsid w:val="00E3728A"/>
    <w:rsid w:val="00E46F27"/>
    <w:rsid w:val="00E509CC"/>
    <w:rsid w:val="00E56DC0"/>
    <w:rsid w:val="00E71A04"/>
    <w:rsid w:val="00E90DA6"/>
    <w:rsid w:val="00E96342"/>
    <w:rsid w:val="00EA2FEA"/>
    <w:rsid w:val="00EA56CB"/>
    <w:rsid w:val="00EA7853"/>
    <w:rsid w:val="00EC2A52"/>
    <w:rsid w:val="00F000B1"/>
    <w:rsid w:val="00F012D3"/>
    <w:rsid w:val="00F044C3"/>
    <w:rsid w:val="00F10D04"/>
    <w:rsid w:val="00F169E3"/>
    <w:rsid w:val="00F3201C"/>
    <w:rsid w:val="00F35D4B"/>
    <w:rsid w:val="00F3746B"/>
    <w:rsid w:val="00F572CB"/>
    <w:rsid w:val="00F572DD"/>
    <w:rsid w:val="00F621AF"/>
    <w:rsid w:val="00F8024E"/>
    <w:rsid w:val="00F82447"/>
    <w:rsid w:val="00F868E5"/>
    <w:rsid w:val="00FB2F32"/>
    <w:rsid w:val="00FC3191"/>
    <w:rsid w:val="00FC56D7"/>
    <w:rsid w:val="00FE0F1F"/>
    <w:rsid w:val="00FF61F3"/>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uiPriority w:val="99"/>
    <w:pPr>
      <w:ind w:firstLine="420" w:firstLineChars="200"/>
    </w:p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1B234-F1A9-4F1F-926A-20F872C37687}">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Pages>
  <Words>405</Words>
  <Characters>2309</Characters>
  <Lines>19</Lines>
  <Paragraphs>5</Paragraphs>
  <TotalTime>0</TotalTime>
  <ScaleCrop>false</ScaleCrop>
  <LinksUpToDate>false</LinksUpToDate>
  <CharactersWithSpaces>2709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user</cp:lastModifiedBy>
  <cp:lastPrinted>2021-04-14T02:06:00Z</cp:lastPrinted>
  <dcterms:modified xsi:type="dcterms:W3CDTF">2023-08-23T07:25:34Z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76EAFEA3433E47EF9BBEB116C4FC5C2C</vt:lpwstr>
  </property>
</Properties>
</file>