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w:t>
      </w:r>
      <w:r>
        <w:rPr>
          <w:rFonts w:hint="eastAsia" w:ascii="宋体" w:hAnsi="宋体" w:eastAsia="宋体"/>
          <w:b/>
          <w:sz w:val="44"/>
          <w:szCs w:val="44"/>
          <w:lang w:eastAsia="zh-CN"/>
        </w:rPr>
        <w:t>市场监督管理局本级</w:t>
      </w: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根据《保定市徐水区市场监督管理局职能配置、内设机构和人员编制规定》， 保定市徐水区市场监督管理局的主要职责是：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保定市徐水区市场监督管理局（简称区市场监督管理局）是区政府工作</w:t>
      </w:r>
      <w:r>
        <w:rPr>
          <w:rFonts w:hint="eastAsia" w:ascii="仿宋" w:hAnsi="仿宋" w:eastAsia="仿宋" w:cs="仿宋"/>
          <w:sz w:val="32"/>
          <w:szCs w:val="32"/>
          <w:lang w:eastAsia="zh-CN"/>
        </w:rPr>
        <w:t>单位</w:t>
      </w:r>
      <w:r>
        <w:rPr>
          <w:rFonts w:hint="eastAsia" w:ascii="仿宋" w:hAnsi="仿宋" w:eastAsia="仿宋" w:cs="仿宋"/>
          <w:sz w:val="32"/>
          <w:szCs w:val="32"/>
        </w:rPr>
        <w:t>，为正科级，加挂保定市徐水区知识产权局牌子。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贯彻落实党中央、省委、市委、区委关于市场监督管理工作的方针政策和决策部署，坚持和加强党对市场监督管理工作的集中统一领导。主要职责是：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负责全区消费者权益保护。负责处理与市场监督管理相关的咨询、投诉、举报，组织开展有关服务领域消费维权工作；依法查处侵害消费者权益的违法行为；建立完善消费者权益保护网络体系，保护消费者、经营者合法权益。指导区消费者协会开展消费维权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（五）负责反垄断统一执法。组织推进竞争政策实施，指导实施公平竞争审查制度。依法对经营者集中行为进行反垄断审查，负责垄断协议、滥用市场支配地位和滥用行政权力排除、限制竞争等反垄断执法工作。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（六）负责全区宏观质量管理。拟订并组织实施全区质量发展的制度措施。会同有关</w:t>
      </w:r>
      <w:r>
        <w:rPr>
          <w:rFonts w:hint="eastAsia" w:ascii="仿宋" w:hAnsi="仿宋" w:eastAsia="仿宋" w:cs="仿宋"/>
          <w:sz w:val="32"/>
          <w:szCs w:val="32"/>
          <w:lang w:eastAsia="zh-CN"/>
        </w:rPr>
        <w:t>单位</w:t>
      </w:r>
      <w:r>
        <w:rPr>
          <w:rFonts w:hint="eastAsia" w:ascii="仿宋" w:hAnsi="仿宋" w:eastAsia="仿宋" w:cs="仿宋"/>
          <w:sz w:val="32"/>
          <w:szCs w:val="32"/>
        </w:rPr>
        <w:t>组织实施重大工程设备质量监理制度，按职责范围组织产品质量事故调查，组织实施缺陷产品召回制度，监督管理产品防伪工作。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0" distR="0" simplePos="0" relativeHeight="251659264" behindDoc="0" locked="0" layoutInCell="1" allowOverlap="1">
                <wp:simplePos x="0" y="0"/>
                <wp:positionH relativeFrom="column">
                  <wp:posOffset>2108835</wp:posOffset>
                </wp:positionH>
                <wp:positionV relativeFrom="paragraph">
                  <wp:posOffset>1055370</wp:posOffset>
                </wp:positionV>
                <wp:extent cx="276225" cy="285750"/>
                <wp:effectExtent l="0" t="0" r="9525" b="0"/>
                <wp:wrapSquare wrapText="bothSides"/>
                <wp:docPr id="1" name="文本框 1"/>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wps:txbx>
                      <wps:bodyPr upright="1"/>
                    </wps:wsp>
                  </a:graphicData>
                </a:graphic>
              </wp:anchor>
            </w:drawing>
          </mc:Choice>
          <mc:Fallback>
            <w:pict>
              <v:shape id="_x0000_s1026" o:spid="_x0000_s1026" o:spt="202" type="#_x0000_t202" style="position:absolute;left:0pt;margin-left:166.05pt;margin-top:83.1pt;height:22.5pt;width:21.75pt;mso-wrap-distance-bottom:0pt;mso-wrap-distance-left:0pt;mso-wrap-distance-right:0pt;mso-wrap-distance-top:0pt;z-index:251659264;mso-width-relative:page;mso-height-relative:page;" fillcolor="#FFFFFF" filled="t" stroked="f" coordsize="21600,21600" o:gfxdata="UEsDBAoAAAAAAIdO4kAAAAAAAAAAAAAAAAAEAAAAZHJzL1BLAwQUAAAACACHTuJASiFfN9gAAAAL&#10;AQAADwAAAGRycy9kb3ducmV2LnhtbE2Py07DMBBF90j8gzVIbBB17FAHQpxKIIHY9vEBk3iaRMR2&#10;FLtN+/eYFSxH9+jeM9XmYkd2pjkM3mkQqwwYudabwXUaDvuPx2dgIaIzOHpHGq4UYFPf3lRYGr+4&#10;LZ13sWOpxIUSNfQxTiXnoe3JYlj5iVzKjn62GNM5d9zMuKRyO3KZZYpbHFxa6HGi957a793Jajh+&#10;LQ/rl6X5jIdi+6TecCgaf9X6/k5kr8AiXeIfDL/6SR3q5NT4kzOBjRryXIqEpkApCSwRebFWwBoN&#10;UggJvK74/x/qH1BLAwQUAAAACACHTuJALLZqRKUBAAAoAwAADgAAAGRycy9lMm9Eb2MueG1srVJB&#10;btswELwXyB8I3mvaApwEguUAbeBcirZA2gfQFCURILnEkrHkD7Q/6KmX3vsuv6NL2nWa5BZUhxW5&#10;OxzuzHJ1MznLdhqjAd/wxWzOmfYKWuP7hn/9snl7zVlM0rfSgtcN3+vIb9YXb1ZjqHUFA9hWIyMS&#10;H+sxNHxIKdRCRDVoJ+MMgvZU7ACdTLTFXrQoR2J3VlTz+aUYAduAoHSMlL09Fvm68HedVulT10Wd&#10;mG049ZZKxBK3OYr1StY9yjAYdWpDvqILJ42nS89UtzJJ9oDmBZUzCiFCl2YKnICuM0oXDaRmMX+m&#10;5n6QQRctZE4MZ5vi/6NVH3efkZmWZseZl45GdPjx/fDz9+HXN7bI9owh1oS6D4RL0zuYMvSUj5TM&#10;qqcOXf6THkZ1Mnp/NldPiSlKVleXVbXkTFGpul5eLYv54vFwwJjuNDiWFw1Hml2xVO4+xEQXEvQv&#10;JN8VwZp2Y6wtG+y37y2ynaQ5b8qXe6QjT2DWZ7CHfOxYzhmRJR6l5FWattNJ3xbaPcl+CGj6gXoq&#10;wgucxlHoT08nz/vffSF9fOD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ohXzfYAAAACwEAAA8A&#10;AAAAAAAAAQAgAAAAIgAAAGRycy9kb3ducmV2LnhtbFBLAQIUABQAAAAIAIdO4kAstmpEpQEAACgD&#10;AAAOAAAAAAAAAAEAIAAAACcBAABkcnMvZTJvRG9jLnhtbFBLBQYAAAAABgAGAFkBAAA+BQ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mc:Fallback>
        </mc:AlternateContent>
      </w:r>
      <w:r>
        <w:rPr>
          <w:rFonts w:hint="eastAsia" w:ascii="仿宋" w:hAnsi="仿宋" w:eastAsia="仿宋" w:cs="仿宋"/>
          <w:sz w:val="32"/>
          <w:szCs w:val="32"/>
        </w:rP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（八）负责全区特种设备安全监督管理。承担本行政区域内特种设备安全监察、监督工作，监督检查高耗能特种设备节能标准和锅炉环境保护标准的执行情况。</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（九）负责食品安全监督管理综合协调。承担区政府食品安全委员会日常工作；组织制定全区食品安全重大政策并组织实施。负责食品药品安全监督管理综合协调，推动健全食品安全地方党政同责和跨</w:t>
      </w:r>
      <w:r>
        <w:rPr>
          <w:rFonts w:hint="eastAsia" w:ascii="仿宋" w:hAnsi="仿宋" w:eastAsia="仿宋" w:cs="仿宋"/>
          <w:sz w:val="32"/>
          <w:szCs w:val="32"/>
          <w:lang w:eastAsia="zh-CN"/>
        </w:rPr>
        <w:t>单位</w:t>
      </w:r>
      <w:r>
        <w:rPr>
          <w:rFonts w:hint="eastAsia" w:ascii="仿宋" w:hAnsi="仿宋" w:eastAsia="仿宋" w:cs="仿宋"/>
          <w:sz w:val="32"/>
          <w:szCs w:val="32"/>
        </w:rPr>
        <w:t>协调联动机制，督促检查乡镇和有关</w:t>
      </w:r>
      <w:r>
        <w:rPr>
          <w:rFonts w:hint="eastAsia" w:ascii="仿宋" w:hAnsi="仿宋" w:eastAsia="仿宋" w:cs="仿宋"/>
          <w:sz w:val="32"/>
          <w:szCs w:val="32"/>
          <w:lang w:eastAsia="zh-CN"/>
        </w:rPr>
        <w:t>单位</w:t>
      </w:r>
      <w:r>
        <w:rPr>
          <w:rFonts w:hint="eastAsia" w:ascii="仿宋" w:hAnsi="仿宋" w:eastAsia="仿宋" w:cs="仿宋"/>
          <w:sz w:val="32"/>
          <w:szCs w:val="32"/>
        </w:rPr>
        <w:t>履行食品药品安全监督管理职责并负责考核评价。负责食品安全应急体系建设，组织指导全区重大食品安全事件应急处置和调查处理工作，建立健全食品安全信息统一公布和重要信息直报制度。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0" distR="0" simplePos="0" relativeHeight="251660288" behindDoc="0" locked="0" layoutInCell="1" allowOverlap="1">
                <wp:simplePos x="0" y="0"/>
                <wp:positionH relativeFrom="column">
                  <wp:posOffset>2023110</wp:posOffset>
                </wp:positionH>
                <wp:positionV relativeFrom="paragraph">
                  <wp:posOffset>649605</wp:posOffset>
                </wp:positionV>
                <wp:extent cx="276225" cy="285750"/>
                <wp:effectExtent l="0" t="0" r="9525" b="0"/>
                <wp:wrapSquare wrapText="bothSides"/>
                <wp:docPr id="4" name="文本框 4"/>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wps:txbx>
                      <wps:bodyPr upright="1"/>
                    </wps:wsp>
                  </a:graphicData>
                </a:graphic>
              </wp:anchor>
            </w:drawing>
          </mc:Choice>
          <mc:Fallback>
            <w:pict>
              <v:shape id="_x0000_s1026" o:spid="_x0000_s1026" o:spt="202" type="#_x0000_t202" style="position:absolute;left:0pt;margin-left:159.3pt;margin-top:51.15pt;height:22.5pt;width:21.75pt;mso-wrap-distance-bottom:0pt;mso-wrap-distance-left:0pt;mso-wrap-distance-right:0pt;mso-wrap-distance-top:0pt;z-index:251660288;mso-width-relative:page;mso-height-relative:page;" fillcolor="#FFFFFF" filled="t" stroked="f" coordsize="21600,21600" o:gfxdata="UEsDBAoAAAAAAIdO4kAAAAAAAAAAAAAAAAAEAAAAZHJzL1BLAwQUAAAACACHTuJAx4Z7TdgAAAAL&#10;AQAADwAAAGRycy9kb3ducmV2LnhtbE2PwU7DMAyG70i8Q2QkLoglbUc7StNJIIG4buwB0sZrKxqn&#10;arJ1e3vMCY72/+n352p7caM44xwGTxqSlQKB1Ho7UKfh8PX+uAERoiFrRk+o4YoBtvXtTWVK6xfa&#10;4XkfO8ElFEqjoY9xKqUMbY/OhJWfkDg7+tmZyOPcSTubhcvdKFOlcunMQHyhNxO+9dh+709Ow/Fz&#10;eXh6XpqPeCh26/zVDEXjr1rf3yXqBUTES/yD4Vef1aFmp8afyAYxasiSTc4oByrNQDCR5WkCouHN&#10;ushA1pX8/0P9A1BLAwQUAAAACACHTuJALngyeqcBAAAoAwAADgAAAGRycy9lMm9Eb2MueG1srVJL&#10;btswEN0XyB0I7ms6QpwEguUAaeBsirZAmgPQFCURIDnEkLHkC7Q36Kqb7nsun6ND2nH62RXRgiJn&#10;3jzOe8PlzeQs22qMBnzDz2dzzrRX0BrfN/zx8/rtNWcxSd9KC143fKcjv1mdvVmOodYVDGBbjYxI&#10;fKzH0PAhpVALEdWgnYwzCNpTsgN0MtERe9GiHIndWVHN55diBGwDgtIxUvTukOSrwt91WqWPXRd1&#10;Yrbh1FsqK5Z1k1exWsq6RxkGo45tyP/owknj6dIT1Z1Mkj2h+YfKGYUQoUszBU5A1xmliwZScz7/&#10;S83DIIMuWsicGE42xdejVR+2n5CZtuEXnHnpaET7b1/333/uf3xhF9meMcSaUA+BcGm6hYnG/ByP&#10;FMyqpw5d/pMeRnkyencyV0+JKQpWV5dVteBMUaq6XlwtivnipThgTPcaHMubhiPNrlgqt+9jokYI&#10;+gzJd0Wwpl0ba8sB+807i2wrac7r8uUeqeQPmPUZ7CGXHdI5IrLEg5S8S9NmOureQLsj2U8BTT9Q&#10;T0V4gdM4Cv3x6eR5/34upC8PfP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4Z7TdgAAAALAQAA&#10;DwAAAAAAAAABACAAAAAiAAAAZHJzL2Rvd25yZXYueG1sUEsBAhQAFAAAAAgAh07iQC54MnqnAQAA&#10;KAMAAA4AAAAAAAAAAQAgAAAAJwEAAGRycy9lMm9Eb2MueG1sUEsFBgAAAAAGAAYAWQEAAEAFAAAA&#10;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mc:Fallback>
        </mc:AlternateContent>
      </w:r>
      <w:r>
        <w:rPr>
          <w:rFonts w:hint="eastAsia" w:ascii="仿宋" w:hAnsi="仿宋" w:eastAsia="仿宋" w:cs="仿宋"/>
          <w:sz w:val="32"/>
          <w:szCs w:val="32"/>
        </w:rPr>
        <w:t>（十一）负责药品（含中药、民族药，下同）、医疗器械和化妆品的质量管理工作。依法查处药品、医疗器械和化妆品生产环节的违法行为。贯彻执行</w:t>
      </w:r>
      <w:r>
        <w:rPr>
          <w:rFonts w:hint="eastAsia" w:ascii="仿宋" w:hAnsi="仿宋" w:eastAsia="仿宋" w:cs="仿宋"/>
          <w:sz w:val="32"/>
          <w:szCs w:val="32"/>
          <w:lang w:eastAsia="zh-CN"/>
        </w:rPr>
        <w:t>国</w:t>
      </w:r>
      <w:bookmarkStart w:id="0" w:name="_GoBack"/>
      <w:bookmarkEnd w:id="0"/>
      <w:r>
        <w:rPr>
          <w:rFonts w:hint="eastAsia" w:ascii="仿宋" w:hAnsi="仿宋" w:eastAsia="仿宋" w:cs="仿宋"/>
          <w:sz w:val="32"/>
          <w:szCs w:val="32"/>
        </w:rPr>
        <w:t>家药品、医疗器械和化妆品法律法规。负责监督实施国家药品、医疗器械和化妆品标准和质量管理规范，组织落实分类管理制度。配合实施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负责监督管理标准化工作。配合市局依法组织制定区域内市级地方标准。宣传贯彻强制性、推荐性国家标准和行业标准、地方标准。依法协调指导和监督团体标准、企业标准制定工作。协助开展标准化合作，组织开展采用国际标准工作。</w:t>
      </w:r>
    </w:p>
    <w:p>
      <w:pPr>
        <w:spacing w:line="500" w:lineRule="exact"/>
        <w:ind w:firstLine="640" w:firstLineChars="200"/>
        <w:jc w:val="left"/>
        <w:rPr>
          <w:rFonts w:ascii="Times New Roman" w:eastAsia="方正仿宋_GBK"/>
          <w:sz w:val="28"/>
        </w:rPr>
      </w:pPr>
      <w:r>
        <w:rPr>
          <w:rFonts w:hint="eastAsia" w:ascii="仿宋" w:hAnsi="仿宋" w:eastAsia="仿宋" w:cs="仿宋"/>
          <w:sz w:val="32"/>
          <w:szCs w:val="32"/>
        </w:rPr>
        <w:t>（十三）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（十四）负责认证认可工作。依法对本辖区内实验室和检验机构进行监督管理；对认证认可相关的社会中介服务机构实施监督管理；协调和监督强制性认证和自愿认证工作，引导企业按国际惯例进行各种认证。</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五）负责保护知识产权。拟订严格保护商标、专利、原产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（十六）负责指导和监督规范行政执法行为，推动法制建设，完善行政执法与刑事司法衔接机制。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（十七）负责全区市场监督管理科技和信息化建设、新闻宣传、对外交流与合作。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（十八）承办区委、区政府交办的其他任务。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保定市徐水区市场监督管理局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hint="eastAsia" w:ascii="仿宋_GB2312" w:hAnsi="仿宋" w:eastAsia="仿宋_GB2312"/>
                <w:bCs/>
                <w:sz w:val="24"/>
                <w:szCs w:val="24"/>
                <w:lang w:eastAsia="zh-CN"/>
              </w:rPr>
            </w:pPr>
          </w:p>
        </w:tc>
        <w:tc>
          <w:tcPr>
            <w:tcW w:w="1701" w:type="dxa"/>
            <w:vAlign w:val="center"/>
          </w:tcPr>
          <w:p>
            <w:pPr>
              <w:jc w:val="center"/>
              <w:rPr>
                <w:rFonts w:hint="eastAsia" w:ascii="仿宋_GB2312" w:hAnsi="仿宋" w:eastAsia="仿宋_GB2312"/>
                <w:bCs/>
                <w:sz w:val="24"/>
                <w:szCs w:val="24"/>
                <w:lang w:eastAsia="zh-CN"/>
              </w:rPr>
            </w:pPr>
          </w:p>
        </w:tc>
        <w:tc>
          <w:tcPr>
            <w:tcW w:w="1418" w:type="dxa"/>
            <w:vAlign w:val="center"/>
          </w:tcPr>
          <w:p>
            <w:pPr>
              <w:jc w:val="center"/>
              <w:rPr>
                <w:rFonts w:hint="eastAsia" w:ascii="仿宋_GB2312" w:hAnsi="仿宋" w:eastAsia="仿宋_GB2312"/>
                <w:bCs/>
                <w:sz w:val="24"/>
                <w:szCs w:val="24"/>
                <w:lang w:eastAsia="zh-CN"/>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hint="eastAsia" w:ascii="仿宋_GB2312" w:hAnsi="仿宋" w:eastAsia="仿宋_GB2312"/>
                <w:bCs/>
                <w:sz w:val="24"/>
                <w:szCs w:val="24"/>
                <w:lang w:eastAsia="zh-CN"/>
              </w:rPr>
            </w:pPr>
          </w:p>
        </w:tc>
        <w:tc>
          <w:tcPr>
            <w:tcW w:w="1418" w:type="dxa"/>
            <w:vAlign w:val="center"/>
          </w:tcPr>
          <w:p>
            <w:pPr>
              <w:jc w:val="center"/>
              <w:rPr>
                <w:rFonts w:hint="eastAsia" w:ascii="仿宋_GB2312" w:hAnsi="仿宋" w:eastAsia="仿宋_GB2312"/>
                <w:bCs/>
                <w:sz w:val="24"/>
                <w:szCs w:val="24"/>
                <w:lang w:eastAsia="zh-CN"/>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年预算收入为2858.25万元,其中：一般公共预算收入2858.25万元，基金预算收入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支出预算：2858.25万元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基本支出2858.25万元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其中：人员经费2554.54万元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日常公用经费303.72万元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hint="default" w:ascii="仿宋" w:hAnsi="仿宋" w:eastAsia="仿宋"/>
          <w:sz w:val="32"/>
          <w:szCs w:val="32"/>
          <w:lang w:val="en-US"/>
        </w:rPr>
      </w:pPr>
      <w:r>
        <w:rPr>
          <w:rFonts w:hint="eastAsia" w:ascii="仿宋" w:hAnsi="仿宋" w:eastAsia="仿宋"/>
          <w:sz w:val="32"/>
          <w:szCs w:val="32"/>
        </w:rPr>
        <w:t>本年度预算收支安排</w:t>
      </w:r>
      <w:r>
        <w:rPr>
          <w:rFonts w:ascii="仿宋" w:hAnsi="仿宋" w:eastAsia="仿宋"/>
          <w:sz w:val="32"/>
          <w:szCs w:val="32"/>
        </w:rPr>
        <w:t>2858.25</w:t>
      </w:r>
      <w:r>
        <w:rPr>
          <w:rFonts w:hint="eastAsia" w:ascii="仿宋" w:hAnsi="仿宋" w:eastAsia="仿宋"/>
          <w:sz w:val="32"/>
          <w:szCs w:val="32"/>
        </w:rPr>
        <w:t>万元，较上年增加</w:t>
      </w:r>
      <w:r>
        <w:rPr>
          <w:rFonts w:hint="default" w:ascii="仿宋" w:hAnsi="仿宋" w:eastAsia="仿宋"/>
          <w:sz w:val="32"/>
          <w:szCs w:val="32"/>
          <w:lang w:val="en-US"/>
        </w:rPr>
        <w:t>1031.58</w:t>
      </w:r>
      <w:r>
        <w:rPr>
          <w:rFonts w:ascii="仿宋" w:hAnsi="仿宋" w:eastAsia="仿宋"/>
          <w:sz w:val="32"/>
          <w:szCs w:val="32"/>
        </w:rPr>
        <w:t>万元。其中:基本支出增加</w:t>
      </w:r>
      <w:r>
        <w:rPr>
          <w:rFonts w:hint="default" w:ascii="仿宋" w:hAnsi="仿宋" w:eastAsia="仿宋"/>
          <w:sz w:val="32"/>
          <w:szCs w:val="32"/>
          <w:lang w:val="en-US"/>
        </w:rPr>
        <w:t>1031.58</w:t>
      </w:r>
      <w:r>
        <w:rPr>
          <w:rFonts w:ascii="仿宋" w:hAnsi="仿宋" w:eastAsia="仿宋"/>
          <w:sz w:val="32"/>
          <w:szCs w:val="32"/>
        </w:rPr>
        <w:t>万元，主要原因是</w:t>
      </w:r>
      <w:r>
        <w:rPr>
          <w:rFonts w:hint="eastAsia" w:ascii="仿宋" w:hAnsi="仿宋" w:eastAsia="仿宋"/>
          <w:sz w:val="32"/>
          <w:szCs w:val="32"/>
          <w:lang w:eastAsia="zh-CN"/>
        </w:rPr>
        <w:t>人员经费增加。</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机关运行经费安排303.72万元，其中办公费</w:t>
      </w:r>
      <w:r>
        <w:rPr>
          <w:rFonts w:hint="default" w:ascii="仿宋" w:hAnsi="仿宋" w:eastAsia="仿宋"/>
          <w:sz w:val="32"/>
          <w:szCs w:val="32"/>
          <w:lang w:val="en-US"/>
        </w:rPr>
        <w:t>47.01</w:t>
      </w:r>
      <w:r>
        <w:rPr>
          <w:rFonts w:ascii="仿宋" w:hAnsi="仿宋" w:eastAsia="仿宋"/>
          <w:sz w:val="32"/>
          <w:szCs w:val="32"/>
        </w:rPr>
        <w:t>万元，邮电费52.97万元，工会经费、福利费</w:t>
      </w:r>
      <w:r>
        <w:rPr>
          <w:rFonts w:hint="default" w:ascii="仿宋" w:hAnsi="仿宋" w:eastAsia="仿宋"/>
          <w:sz w:val="32"/>
          <w:szCs w:val="32"/>
          <w:lang w:val="en-US"/>
        </w:rPr>
        <w:t>30.90</w:t>
      </w:r>
      <w:r>
        <w:rPr>
          <w:rFonts w:ascii="仿宋" w:hAnsi="仿宋" w:eastAsia="仿宋"/>
          <w:sz w:val="32"/>
          <w:szCs w:val="32"/>
        </w:rPr>
        <w:t>万元，公务用车运行维护费</w:t>
      </w:r>
      <w:r>
        <w:rPr>
          <w:rFonts w:hint="default" w:ascii="仿宋" w:hAnsi="仿宋" w:eastAsia="仿宋"/>
          <w:sz w:val="32"/>
          <w:szCs w:val="32"/>
          <w:lang w:val="en-US"/>
        </w:rPr>
        <w:t>63.18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109.66</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noWrap/>
            <w:vAlign w:val="center"/>
          </w:tcPr>
          <w:tbl>
            <w:tblPr>
              <w:tblStyle w:val="5"/>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70.2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63.18</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-7.02</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合理缩减三公经费</w:t>
                  </w:r>
                </w:p>
              </w:tc>
            </w:tr>
            <w:tr>
              <w:tblPrEx>
                <w:tblLayout w:type="fixed"/>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0.09</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0.09</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公务接待需求</w:t>
                  </w:r>
                </w:p>
              </w:tc>
            </w:tr>
            <w:tr>
              <w:tblPrEx>
                <w:tblLayout w:type="fixed"/>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70.2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63.27</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-7.11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合理缩减三公经费</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rPr>
        <w:t>紧紧围绕全区中心工作，根据区委重要部署和市场监督管理局职责，认真做好本辖区内市场监督管理、食品药品监督工作、组织开展食品药品专项抽检，食用农产品、保健品、化妆品的监督，依法查处市场违法行为，按分工打击假冒伪劣违法活动，组织协调辖区内有关专项打假活动。贯彻执行《中华人民共和国公司法》、《中华人民共和国无照经营查处取缔办法》、《中华人民共和国产品质量法》、《中华人民共和国食品安全法》和其它有关的法律、法规、条例等。</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(一)工商管理事务</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1、市场监督管理。落实国家局、省局、市局抽检计划，进一步提升我区食品药品安全。产品质量抽查企业数量大于90家。</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2、流通领域商品质量监督管理。通过打假办案，依法查处区域内市场违法行为，对区域内制酒业、驴肉制作、工程车市场按分工打击假冒伪劣违法活动，组织协调辖区内有关专项打假活动的单位，确保完成全年打假办案任务。加大食用农产品、预包装食品等市场巡查力度。提高我区整体食品安全。打造良好营商环境。双随机抽查完成率100%</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（二）食品安全管理</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食品安全监管。快检实验室日常运转经费，保障农村集贸市场食品快检率，保障全区农村食品安全。食品检测批次大于2774次。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（四）药品安全管理</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药品医疗器械监管。提高全区食品安全，保证全覆盖无死角，在各村设立农村协管员，进一步提升我区食品安全。药品用药安全知识普及率大于90%。</w:t>
      </w:r>
    </w:p>
    <w:p>
      <w:pPr>
        <w:spacing w:line="360" w:lineRule="auto"/>
        <w:ind w:firstLine="640" w:firstLineChars="200"/>
        <w:rPr>
          <w:rFonts w:hint="eastAsia" w:ascii="仿宋" w:hAnsi="仿宋" w:eastAsia="仿宋" w:cs="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单位无政府采购，空表列示。</w:t>
      </w:r>
    </w:p>
    <w:tbl>
      <w:tblPr>
        <w:tblStyle w:val="5"/>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政府采购项目来源</w:t>
            </w:r>
          </w:p>
        </w:tc>
        <w:tc>
          <w:tcPr>
            <w:tcW w:w="1531"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采购物品名称</w:t>
            </w:r>
          </w:p>
        </w:tc>
        <w:tc>
          <w:tcPr>
            <w:tcW w:w="1531"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政府采购目录序号</w:t>
            </w:r>
          </w:p>
        </w:tc>
        <w:tc>
          <w:tcPr>
            <w:tcW w:w="709"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计量  单位</w:t>
            </w:r>
          </w:p>
        </w:tc>
        <w:tc>
          <w:tcPr>
            <w:tcW w:w="907"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数量</w:t>
            </w:r>
          </w:p>
        </w:tc>
        <w:tc>
          <w:tcPr>
            <w:tcW w:w="907"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单价</w:t>
            </w:r>
          </w:p>
        </w:tc>
        <w:tc>
          <w:tcPr>
            <w:tcW w:w="6804" w:type="dxa"/>
            <w:gridSpan w:val="6"/>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政府采购金额（当年</w:t>
            </w:r>
            <w:r>
              <w:rPr>
                <w:rFonts w:hint="eastAsia" w:ascii="方正书宋_GBK" w:eastAsia="方正书宋_GBK"/>
                <w:b w:val="0"/>
                <w:bCs/>
                <w:lang w:eastAsia="zh-CN"/>
              </w:rPr>
              <w:t>单位</w:t>
            </w:r>
            <w:r>
              <w:rPr>
                <w:rFonts w:ascii="方正书宋_GBK" w:eastAsia="方正书宋_GBK"/>
                <w:b w:val="0"/>
                <w:bCs/>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项目名称</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1531"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709"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907"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907"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合计</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一般公共预算拨款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基金预算拨款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国有资本经营预算拨款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财政专户核拨</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合  计</w:t>
            </w:r>
          </w:p>
        </w:tc>
        <w:tc>
          <w:tcPr>
            <w:tcW w:w="1134" w:type="dxa"/>
            <w:shd w:val="clear" w:color="auto" w:fill="auto"/>
            <w:vAlign w:val="center"/>
          </w:tcPr>
          <w:p>
            <w:pPr>
              <w:spacing w:line="300" w:lineRule="exact"/>
              <w:jc w:val="righ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ascii="方正书宋_GBK" w:eastAsia="方正书宋_GBK"/>
                <w:b w:val="0"/>
                <w:bCs/>
              </w:rPr>
            </w:pPr>
          </w:p>
        </w:tc>
        <w:tc>
          <w:tcPr>
            <w:tcW w:w="907" w:type="dxa"/>
            <w:shd w:val="clear" w:color="auto" w:fill="auto"/>
            <w:vAlign w:val="center"/>
          </w:tcPr>
          <w:p>
            <w:pPr>
              <w:spacing w:line="300" w:lineRule="exact"/>
              <w:jc w:val="right"/>
              <w:rPr>
                <w:rFonts w:ascii="方正书宋_GBK" w:eastAsia="方正书宋_GBK"/>
                <w:b w:val="0"/>
                <w:bCs/>
              </w:rPr>
            </w:pPr>
          </w:p>
        </w:tc>
        <w:tc>
          <w:tcPr>
            <w:tcW w:w="907"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val="0"/>
                <w:bC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531" w:type="dxa"/>
            <w:shd w:val="clear" w:color="auto" w:fill="auto"/>
            <w:vAlign w:val="center"/>
          </w:tcPr>
          <w:p>
            <w:pPr>
              <w:spacing w:line="300" w:lineRule="exact"/>
              <w:jc w:val="lef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ascii="方正书宋_GBK" w:eastAsia="方正书宋_GBK"/>
                <w:b w:val="0"/>
                <w:bCs/>
              </w:rPr>
            </w:pPr>
          </w:p>
        </w:tc>
        <w:tc>
          <w:tcPr>
            <w:tcW w:w="907" w:type="dxa"/>
            <w:shd w:val="clear" w:color="auto" w:fill="auto"/>
            <w:vAlign w:val="center"/>
          </w:tcPr>
          <w:p>
            <w:pPr>
              <w:spacing w:line="300" w:lineRule="exact"/>
              <w:jc w:val="right"/>
              <w:rPr>
                <w:rFonts w:ascii="方正书宋_GBK" w:eastAsia="方正书宋_GBK"/>
                <w:b w:val="0"/>
                <w:bCs/>
              </w:rPr>
            </w:pPr>
          </w:p>
        </w:tc>
        <w:tc>
          <w:tcPr>
            <w:tcW w:w="907" w:type="dxa"/>
            <w:shd w:val="clear" w:color="auto" w:fill="auto"/>
            <w:vAlign w:val="center"/>
          </w:tcPr>
          <w:p>
            <w:pPr>
              <w:spacing w:line="300" w:lineRule="exact"/>
              <w:jc w:val="center"/>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b w:val="0"/>
                <w:bCs/>
                <w:lang w:eastAsia="zh-CN"/>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531" w:type="dxa"/>
            <w:shd w:val="clear" w:color="auto" w:fill="auto"/>
            <w:vAlign w:val="center"/>
          </w:tcPr>
          <w:p>
            <w:pPr>
              <w:spacing w:line="300" w:lineRule="exact"/>
              <w:jc w:val="lef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hint="eastAsia" w:ascii="方正书宋_GBK" w:eastAsia="方正书宋_GBK"/>
                <w:b w:val="0"/>
                <w:bCs/>
                <w:lang w:eastAsia="zh-CN"/>
              </w:rPr>
            </w:pPr>
          </w:p>
        </w:tc>
        <w:tc>
          <w:tcPr>
            <w:tcW w:w="907" w:type="dxa"/>
            <w:shd w:val="clear" w:color="auto" w:fill="auto"/>
            <w:vAlign w:val="center"/>
          </w:tcPr>
          <w:p>
            <w:pPr>
              <w:spacing w:line="300" w:lineRule="exact"/>
              <w:jc w:val="right"/>
              <w:rPr>
                <w:rFonts w:hint="default" w:ascii="方正书宋_GBK" w:eastAsia="方正书宋_GBK"/>
                <w:b w:val="0"/>
                <w:bCs/>
                <w:lang w:val="en-US"/>
              </w:rPr>
            </w:pPr>
          </w:p>
        </w:tc>
        <w:tc>
          <w:tcPr>
            <w:tcW w:w="907" w:type="dxa"/>
            <w:shd w:val="clear" w:color="auto" w:fill="auto"/>
            <w:vAlign w:val="center"/>
          </w:tcPr>
          <w:p>
            <w:pPr>
              <w:spacing w:line="300" w:lineRule="exact"/>
              <w:jc w:val="center"/>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1781.79</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1781.79</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default" w:ascii="仿宋_GB2312" w:hAnsi="仿宋" w:eastAsia="仿宋_GB2312" w:cs="宋体"/>
                <w:kern w:val="0"/>
                <w:sz w:val="24"/>
                <w:szCs w:val="24"/>
                <w:lang w:val="en-US"/>
              </w:rPr>
              <w:t>3550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718.37</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default" w:ascii="仿宋_GB2312" w:hAnsi="仿宋" w:eastAsia="仿宋_GB2312" w:cs="宋体"/>
                <w:kern w:val="0"/>
                <w:sz w:val="24"/>
                <w:szCs w:val="24"/>
                <w:lang w:val="en-US"/>
              </w:rPr>
              <w:t>3550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718.37</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30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256.4</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2553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807.02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7D5689"/>
    <w:rsid w:val="02F95C76"/>
    <w:rsid w:val="03A50961"/>
    <w:rsid w:val="0A214432"/>
    <w:rsid w:val="0A314C05"/>
    <w:rsid w:val="0FDB6728"/>
    <w:rsid w:val="25254025"/>
    <w:rsid w:val="27733670"/>
    <w:rsid w:val="3444176F"/>
    <w:rsid w:val="3D7A262E"/>
    <w:rsid w:val="6FE1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11</TotalTime>
  <ScaleCrop>false</ScaleCrop>
  <LinksUpToDate>false</LinksUpToDate>
  <CharactersWithSpaces>1833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朱沛慧</cp:lastModifiedBy>
  <cp:lastPrinted>2021-04-14T02:06:00Z</cp:lastPrinted>
  <dcterms:modified xsi:type="dcterms:W3CDTF">2023-03-02T09:35:14Z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06A152A86D874AC4A1491DF0111B0405</vt:lpwstr>
  </property>
</Properties>
</file>