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ocument.xml" ContentType="application/vnd.openxmlformats-officedocument.wordprocessingml.document.main+xml"/>
  <Override PartName="/word/drawings/drawing1.xml" ContentType="application/vnd.openxmlformats-officedocument.drawingml.chartshapes+xml"/>
  <Override PartName="/word/drawings/drawing2.xml" ContentType="application/vnd.openxmlformats-officedocument.drawingml.chartshapes+xml"/>
  <Override PartName="/word/drawings/drawing3.xml" ContentType="application/vnd.openxmlformats-officedocument.drawingml.chartshapes+xml"/>
  <Override PartName="/word/drawings/drawing4.xml" ContentType="application/vnd.openxmlformats-officedocument.drawingml.chartshap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keepNext w:val="0"/>
        <w:keepLines w:val="0"/>
        <w:pageBreakBefore w:val="0"/>
        <w:widowControl w:val="0"/>
        <w:kinsoku/>
        <w:wordWrap/>
        <w:overflowPunct/>
        <w:topLinePunct w:val="0"/>
        <w:autoSpaceDE/>
        <w:autoSpaceDN/>
        <w:bidi w:val="0"/>
        <w:adjustRightInd/>
        <w:snapToGrid/>
        <w:spacing w:after="0" w:line="580" w:lineRule="exact"/>
        <w:jc w:val="center"/>
        <w:textAlignment w:val="auto"/>
        <w:rPr>
          <w:rFonts w:hint="eastAsia" w:asciiTheme="majorEastAsia" w:hAnsiTheme="majorEastAsia" w:eastAsiaTheme="majorEastAsia" w:cstheme="majorEastAsia"/>
          <w:b/>
          <w:bCs w:val="0"/>
          <w:kern w:val="2"/>
          <w:sz w:val="44"/>
          <w:szCs w:val="44"/>
          <w:lang w:val="en-US" w:eastAsia="zh-CN"/>
        </w:rPr>
      </w:pPr>
      <w:r>
        <w:rPr>
          <w:rFonts w:hint="eastAsia" w:asciiTheme="majorEastAsia" w:hAnsiTheme="majorEastAsia" w:eastAsiaTheme="majorEastAsia" w:cstheme="majorEastAsia"/>
          <w:b/>
          <w:bCs w:val="0"/>
          <w:kern w:val="2"/>
          <w:sz w:val="44"/>
          <w:szCs w:val="44"/>
        </w:rPr>
        <w:t>保定市徐水区</w:t>
      </w:r>
      <w:r>
        <w:rPr>
          <w:rFonts w:hint="eastAsia" w:asciiTheme="majorEastAsia" w:hAnsiTheme="majorEastAsia" w:eastAsiaTheme="majorEastAsia" w:cstheme="majorEastAsia"/>
          <w:b/>
          <w:bCs w:val="0"/>
          <w:kern w:val="2"/>
          <w:sz w:val="44"/>
          <w:szCs w:val="44"/>
          <w:lang w:val="en-US" w:eastAsia="zh-CN"/>
        </w:rPr>
        <w:t>消防救援大队</w:t>
      </w:r>
    </w:p>
    <w:p>
      <w:pPr>
        <w:keepNext w:val="0"/>
        <w:keepLines w:val="0"/>
        <w:pageBreakBefore w:val="0"/>
        <w:widowControl w:val="0"/>
        <w:kinsoku/>
        <w:wordWrap/>
        <w:overflowPunct/>
        <w:topLinePunct w:val="0"/>
        <w:autoSpaceDE/>
        <w:autoSpaceDN/>
        <w:bidi w:val="0"/>
        <w:adjustRightInd/>
        <w:snapToGrid/>
        <w:spacing w:after="0" w:line="580" w:lineRule="exact"/>
        <w:jc w:val="center"/>
        <w:textAlignment w:val="auto"/>
        <w:rPr>
          <w:rFonts w:ascii="黑体" w:hAnsi="黑体" w:eastAsia="黑体" w:cs="Times New Roman"/>
          <w:bCs/>
          <w:kern w:val="2"/>
          <w:sz w:val="48"/>
          <w:szCs w:val="48"/>
        </w:rPr>
      </w:pPr>
      <w:r>
        <w:rPr>
          <w:rFonts w:hint="eastAsia" w:asciiTheme="majorEastAsia" w:hAnsiTheme="majorEastAsia" w:eastAsiaTheme="majorEastAsia" w:cstheme="majorEastAsia"/>
          <w:b/>
          <w:bCs w:val="0"/>
          <w:kern w:val="2"/>
          <w:sz w:val="44"/>
          <w:szCs w:val="44"/>
        </w:rPr>
        <w:t>202</w:t>
      </w:r>
      <w:r>
        <w:rPr>
          <w:rFonts w:hint="default" w:asciiTheme="majorEastAsia" w:hAnsiTheme="majorEastAsia" w:eastAsiaTheme="majorEastAsia" w:cstheme="majorEastAsia"/>
          <w:b/>
          <w:bCs w:val="0"/>
          <w:kern w:val="2"/>
          <w:sz w:val="44"/>
          <w:szCs w:val="44"/>
          <w:lang w:val="en-US"/>
        </w:rPr>
        <w:t>1</w:t>
      </w:r>
      <w:r>
        <w:rPr>
          <w:rFonts w:hint="eastAsia" w:asciiTheme="majorEastAsia" w:hAnsiTheme="majorEastAsia" w:eastAsiaTheme="majorEastAsia" w:cstheme="majorEastAsia"/>
          <w:b/>
          <w:bCs w:val="0"/>
          <w:kern w:val="2"/>
          <w:sz w:val="44"/>
          <w:szCs w:val="44"/>
        </w:rPr>
        <w:t>年部门整体支出绩效评价自评报告</w:t>
      </w: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720" w:firstLineChars="200"/>
        <w:jc w:val="center"/>
        <w:rPr>
          <w:rFonts w:cs="Times New Roman" w:asciiTheme="minorEastAsia" w:hAnsiTheme="minorEastAsia" w:eastAsiaTheme="minorEastAsia"/>
          <w:bCs/>
          <w:kern w:val="2"/>
          <w:sz w:val="36"/>
          <w:szCs w:val="36"/>
        </w:rPr>
      </w:pPr>
      <w:r>
        <w:rPr>
          <w:rFonts w:hint="eastAsia" w:cs="Times New Roman" w:asciiTheme="minorEastAsia" w:hAnsiTheme="minorEastAsia" w:eastAsiaTheme="minorEastAsia"/>
          <w:bCs/>
          <w:kern w:val="2"/>
          <w:sz w:val="36"/>
          <w:szCs w:val="36"/>
        </w:rPr>
        <w:t>20</w:t>
      </w:r>
      <w:r>
        <w:rPr>
          <w:rFonts w:cs="Times New Roman" w:asciiTheme="minorEastAsia" w:hAnsiTheme="minorEastAsia" w:eastAsiaTheme="minorEastAsia"/>
          <w:bCs/>
          <w:kern w:val="2"/>
          <w:sz w:val="36"/>
          <w:szCs w:val="36"/>
        </w:rPr>
        <w:t>2</w:t>
      </w:r>
      <w:r>
        <w:rPr>
          <w:rFonts w:hint="default" w:cs="Times New Roman" w:asciiTheme="minorEastAsia" w:hAnsiTheme="minorEastAsia" w:eastAsiaTheme="minorEastAsia"/>
          <w:bCs/>
          <w:kern w:val="2"/>
          <w:sz w:val="36"/>
          <w:szCs w:val="36"/>
          <w:lang w:val="en-US"/>
        </w:rPr>
        <w:t>2</w:t>
      </w:r>
      <w:r>
        <w:rPr>
          <w:rFonts w:hint="eastAsia" w:cs="Times New Roman" w:asciiTheme="minorEastAsia" w:hAnsiTheme="minorEastAsia" w:eastAsiaTheme="minorEastAsia"/>
          <w:bCs/>
          <w:kern w:val="2"/>
          <w:sz w:val="36"/>
          <w:szCs w:val="36"/>
        </w:rPr>
        <w:t>年</w:t>
      </w:r>
      <w:r>
        <w:rPr>
          <w:rFonts w:hint="eastAsia" w:cs="Times New Roman" w:asciiTheme="minorEastAsia" w:hAnsiTheme="minorEastAsia" w:eastAsiaTheme="minorEastAsia"/>
          <w:bCs/>
          <w:kern w:val="2"/>
          <w:sz w:val="36"/>
          <w:szCs w:val="36"/>
          <w:lang w:val="en-US" w:eastAsia="zh-CN"/>
        </w:rPr>
        <w:t>11</w:t>
      </w:r>
      <w:r>
        <w:rPr>
          <w:rFonts w:hint="eastAsia" w:cs="Times New Roman" w:asciiTheme="minorEastAsia" w:hAnsiTheme="minorEastAsia" w:eastAsiaTheme="minorEastAsia"/>
          <w:bCs/>
          <w:kern w:val="2"/>
          <w:sz w:val="36"/>
          <w:szCs w:val="36"/>
        </w:rPr>
        <w:t>月</w:t>
      </w: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sdt>
      <w:sdtPr>
        <w:rPr>
          <w:rFonts w:ascii="Tahoma" w:hAnsi="Tahoma" w:eastAsia="微软雅黑" w:cstheme="minorBidi"/>
          <w:b w:val="0"/>
          <w:bCs w:val="0"/>
          <w:color w:val="auto"/>
          <w:sz w:val="22"/>
          <w:szCs w:val="22"/>
          <w:lang w:val="zh-CN"/>
        </w:rPr>
        <w:id w:val="8905895"/>
        <w:docPartObj>
          <w:docPartGallery w:val="Table of Contents"/>
          <w:docPartUnique/>
        </w:docPartObj>
      </w:sdtPr>
      <w:sdtEndPr>
        <w:rPr>
          <w:rFonts w:ascii="Tahoma" w:hAnsi="Tahoma" w:eastAsia="微软雅黑" w:cstheme="minorBidi"/>
          <w:b w:val="0"/>
          <w:bCs w:val="0"/>
          <w:color w:val="auto"/>
          <w:sz w:val="22"/>
          <w:szCs w:val="22"/>
          <w:lang w:val="en-US"/>
        </w:rPr>
      </w:sdtEndPr>
      <w:sdtContent>
        <w:p>
          <w:pPr>
            <w:pStyle w:val="71"/>
            <w:ind w:firstLine="440" w:firstLineChars="200"/>
            <w:jc w:val="center"/>
            <w:rPr>
              <w:color w:val="auto"/>
              <w:sz w:val="44"/>
              <w:szCs w:val="44"/>
              <w:lang w:val="zh-CN"/>
            </w:rPr>
          </w:pPr>
          <w:r>
            <w:rPr>
              <w:color w:val="auto"/>
              <w:sz w:val="44"/>
              <w:szCs w:val="44"/>
              <w:lang w:val="zh-CN"/>
            </w:rPr>
            <w:t>目</w:t>
          </w:r>
          <w:r>
            <w:rPr>
              <w:rFonts w:hint="eastAsia"/>
              <w:color w:val="auto"/>
              <w:sz w:val="44"/>
              <w:szCs w:val="44"/>
              <w:lang w:val="zh-CN"/>
            </w:rPr>
            <w:t xml:space="preserve">    </w:t>
          </w:r>
          <w:r>
            <w:rPr>
              <w:color w:val="auto"/>
              <w:sz w:val="44"/>
              <w:szCs w:val="44"/>
              <w:lang w:val="zh-CN"/>
            </w:rPr>
            <w:t>录</w:t>
          </w:r>
        </w:p>
        <w:p>
          <w:pPr>
            <w:pStyle w:val="18"/>
            <w:tabs>
              <w:tab w:val="right" w:leader="dot" w:pos="8312"/>
            </w:tabs>
            <w:spacing w:line="312" w:lineRule="auto"/>
            <w:ind w:left="0" w:leftChars="0"/>
            <w:rPr>
              <w:rFonts w:asciiTheme="majorEastAsia" w:hAnsiTheme="majorEastAsia" w:eastAsiaTheme="majorEastAsia" w:cstheme="majorEastAsia"/>
              <w:b/>
              <w:bCs/>
              <w:sz w:val="24"/>
            </w:rPr>
          </w:pP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TOC \o "1-3" \h \z \u </w:instrText>
          </w:r>
          <w:r>
            <w:rPr>
              <w:rFonts w:asciiTheme="minorEastAsia" w:hAnsiTheme="minorEastAsia" w:eastAsiaTheme="minorEastAsia"/>
              <w:sz w:val="24"/>
            </w:rPr>
            <w:fldChar w:fldCharType="separate"/>
          </w:r>
          <w:r>
            <w:fldChar w:fldCharType="begin"/>
          </w:r>
          <w:r>
            <w:instrText xml:space="preserve"> HYPERLINK \l "_Toc25184" </w:instrText>
          </w:r>
          <w:r>
            <w:fldChar w:fldCharType="separate"/>
          </w:r>
          <w:r>
            <w:rPr>
              <w:rFonts w:hint="eastAsia" w:asciiTheme="majorEastAsia" w:hAnsiTheme="majorEastAsia" w:eastAsiaTheme="majorEastAsia" w:cstheme="majorEastAsia"/>
              <w:b/>
              <w:bCs/>
              <w:sz w:val="24"/>
            </w:rPr>
            <w:t>第一部分   摘  要</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_Toc25184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1</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sz w:val="24"/>
            </w:rPr>
          </w:pPr>
          <w:r>
            <w:fldChar w:fldCharType="begin"/>
          </w:r>
          <w:r>
            <w:instrText xml:space="preserve"> HYPERLINK \l "_Toc4346" </w:instrText>
          </w:r>
          <w:r>
            <w:fldChar w:fldCharType="separate"/>
          </w:r>
          <w:r>
            <w:rPr>
              <w:rFonts w:hint="eastAsia" w:asciiTheme="majorEastAsia" w:hAnsiTheme="majorEastAsia" w:eastAsiaTheme="majorEastAsia" w:cstheme="majorEastAsia"/>
              <w:b/>
              <w:bCs/>
              <w:sz w:val="24"/>
            </w:rPr>
            <w:t>第二部分   绩效评价报告</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_Toc4346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4</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"_Toc427" </w:instrText>
          </w:r>
          <w:r>
            <w:fldChar w:fldCharType="separate"/>
          </w:r>
          <w:r>
            <w:rPr>
              <w:rFonts w:hint="eastAsia" w:asciiTheme="majorEastAsia" w:hAnsiTheme="majorEastAsia" w:eastAsiaTheme="majorEastAsia" w:cstheme="majorEastAsia"/>
              <w:b/>
              <w:bCs/>
              <w:sz w:val="24"/>
            </w:rPr>
            <w:t>一、保定市徐水区</w:t>
          </w:r>
          <w:r>
            <w:rPr>
              <w:rFonts w:hint="eastAsia" w:asciiTheme="majorEastAsia" w:hAnsiTheme="majorEastAsia" w:eastAsiaTheme="majorEastAsia" w:cstheme="majorEastAsia"/>
              <w:b/>
              <w:bCs/>
              <w:sz w:val="24"/>
              <w:lang w:val="en-US" w:eastAsia="zh-CN"/>
            </w:rPr>
            <w:t>消防救援大队</w:t>
          </w:r>
          <w:r>
            <w:rPr>
              <w:rFonts w:hint="eastAsia" w:asciiTheme="majorEastAsia" w:hAnsiTheme="majorEastAsia" w:eastAsiaTheme="majorEastAsia" w:cstheme="majorEastAsia"/>
              <w:b/>
              <w:bCs/>
              <w:sz w:val="24"/>
            </w:rPr>
            <w:t>基本情况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_Toc427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5</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"_Toc11473" </w:instrText>
          </w:r>
          <w:r>
            <w:fldChar w:fldCharType="separate"/>
          </w:r>
          <w:r>
            <w:rPr>
              <w:rFonts w:hint="eastAsia" w:asciiTheme="majorEastAsia" w:hAnsiTheme="majorEastAsia" w:eastAsiaTheme="majorEastAsia" w:cstheme="majorEastAsia"/>
              <w:sz w:val="24"/>
            </w:rPr>
            <w:t>（一）部门职责和工作活动</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_Toc11473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5</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"_Toc7075" </w:instrText>
          </w:r>
          <w:r>
            <w:fldChar w:fldCharType="separate"/>
          </w:r>
          <w:r>
            <w:rPr>
              <w:rFonts w:hint="eastAsia" w:asciiTheme="majorEastAsia" w:hAnsiTheme="majorEastAsia" w:eastAsiaTheme="majorEastAsia" w:cstheme="majorEastAsia"/>
              <w:sz w:val="24"/>
            </w:rPr>
            <w:t>（二）部门年度发展规划总体目标和职责分类绩效目标</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_Toc7075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5</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"_Toc1678" </w:instrText>
          </w:r>
          <w:r>
            <w:fldChar w:fldCharType="separate"/>
          </w:r>
          <w:r>
            <w:rPr>
              <w:rFonts w:hint="eastAsia" w:asciiTheme="majorEastAsia" w:hAnsiTheme="majorEastAsia" w:eastAsiaTheme="majorEastAsia" w:cstheme="majorEastAsia"/>
              <w:sz w:val="24"/>
            </w:rPr>
            <w:t>（三）部门预算收入及决算收入</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_Toc1678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6</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"_Toc18197" </w:instrText>
          </w:r>
          <w:r>
            <w:fldChar w:fldCharType="separate"/>
          </w:r>
          <w:r>
            <w:rPr>
              <w:rFonts w:hint="eastAsia" w:asciiTheme="majorEastAsia" w:hAnsiTheme="majorEastAsia" w:eastAsiaTheme="majorEastAsia" w:cstheme="majorEastAsia"/>
              <w:sz w:val="24"/>
            </w:rPr>
            <w:t>（四）预算支出及决算支出</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_Toc18197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7</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"_Toc19291" </w:instrText>
          </w:r>
          <w:r>
            <w:fldChar w:fldCharType="separate"/>
          </w:r>
          <w:r>
            <w:rPr>
              <w:rFonts w:hint="eastAsia" w:asciiTheme="majorEastAsia" w:hAnsiTheme="majorEastAsia" w:eastAsiaTheme="majorEastAsia" w:cstheme="majorEastAsia"/>
              <w:sz w:val="24"/>
            </w:rPr>
            <w:t>（五）“三公”经费预算安排及支出情况</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_Toc19291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9</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"_Toc20454" </w:instrText>
          </w:r>
          <w:r>
            <w:fldChar w:fldCharType="separate"/>
          </w:r>
          <w:r>
            <w:rPr>
              <w:rFonts w:hint="eastAsia" w:asciiTheme="majorEastAsia" w:hAnsiTheme="majorEastAsia" w:eastAsiaTheme="majorEastAsia" w:cstheme="majorEastAsia"/>
              <w:b/>
              <w:bCs/>
              <w:sz w:val="24"/>
            </w:rPr>
            <w:t>二、部门整体支出绩效评价指标体系设定情况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_Toc20454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10</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8"/>
            <w:tabs>
              <w:tab w:val="right" w:leader="dot" w:pos="8312"/>
            </w:tabs>
            <w:spacing w:line="312" w:lineRule="auto"/>
            <w:ind w:left="0" w:leftChars="0" w:firstLine="300" w:firstLineChars="100"/>
            <w:rPr>
              <w:rFonts w:asciiTheme="majorEastAsia" w:hAnsiTheme="majorEastAsia" w:eastAsiaTheme="majorEastAsia" w:cstheme="majorEastAsia"/>
              <w:sz w:val="24"/>
            </w:rPr>
          </w:pPr>
          <w:r>
            <w:fldChar w:fldCharType="begin"/>
          </w:r>
          <w:r>
            <w:instrText xml:space="preserve"> HYPERLINK \l "_Toc9569" </w:instrText>
          </w:r>
          <w:r>
            <w:fldChar w:fldCharType="separate"/>
          </w:r>
          <w:r>
            <w:rPr>
              <w:rFonts w:hint="eastAsia" w:asciiTheme="majorEastAsia" w:hAnsiTheme="majorEastAsia" w:eastAsiaTheme="majorEastAsia" w:cstheme="majorEastAsia"/>
              <w:sz w:val="24"/>
            </w:rPr>
            <w:t>（一）投入</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_Toc9569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10</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"_Toc30221" </w:instrText>
          </w:r>
          <w:r>
            <w:fldChar w:fldCharType="separate"/>
          </w:r>
          <w:r>
            <w:rPr>
              <w:rFonts w:hint="eastAsia" w:asciiTheme="majorEastAsia" w:hAnsiTheme="majorEastAsia" w:eastAsiaTheme="majorEastAsia" w:cstheme="majorEastAsia"/>
              <w:sz w:val="24"/>
            </w:rPr>
            <w:t>（二）过程</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_Toc30221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11</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"_Toc24932" </w:instrText>
          </w:r>
          <w:r>
            <w:fldChar w:fldCharType="separate"/>
          </w:r>
          <w:r>
            <w:rPr>
              <w:rFonts w:hint="eastAsia" w:asciiTheme="majorEastAsia" w:hAnsiTheme="majorEastAsia" w:eastAsiaTheme="majorEastAsia" w:cstheme="majorEastAsia"/>
              <w:sz w:val="24"/>
            </w:rPr>
            <w:t>（三）产出</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_Toc24932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11</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"_Toc21821" </w:instrText>
          </w:r>
          <w:r>
            <w:fldChar w:fldCharType="separate"/>
          </w:r>
          <w:r>
            <w:rPr>
              <w:rFonts w:hint="eastAsia" w:asciiTheme="majorEastAsia" w:hAnsiTheme="majorEastAsia" w:eastAsiaTheme="majorEastAsia" w:cstheme="majorEastAsia"/>
              <w:sz w:val="24"/>
            </w:rPr>
            <w:t>（四）效果</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_Toc21821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12</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"_Toc11842" </w:instrText>
          </w:r>
          <w:r>
            <w:fldChar w:fldCharType="separate"/>
          </w:r>
          <w:r>
            <w:rPr>
              <w:rFonts w:hint="eastAsia" w:asciiTheme="majorEastAsia" w:hAnsiTheme="majorEastAsia" w:eastAsiaTheme="majorEastAsia" w:cstheme="majorEastAsia"/>
              <w:b/>
              <w:bCs/>
              <w:sz w:val="24"/>
            </w:rPr>
            <w:t>三、综合绩效评价工作情况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_Toc11842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12</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"_Toc17138" </w:instrText>
          </w:r>
          <w:r>
            <w:fldChar w:fldCharType="separate"/>
          </w:r>
          <w:r>
            <w:rPr>
              <w:rFonts w:hint="eastAsia" w:asciiTheme="majorEastAsia" w:hAnsiTheme="majorEastAsia" w:eastAsiaTheme="majorEastAsia" w:cstheme="majorEastAsia"/>
              <w:sz w:val="24"/>
            </w:rPr>
            <w:t>（一）绩效评价目的</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_Toc17138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12</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"_Toc11607" </w:instrText>
          </w:r>
          <w:r>
            <w:fldChar w:fldCharType="separate"/>
          </w:r>
          <w:r>
            <w:rPr>
              <w:rFonts w:hint="eastAsia" w:asciiTheme="majorEastAsia" w:hAnsiTheme="majorEastAsia" w:eastAsiaTheme="majorEastAsia" w:cstheme="majorEastAsia"/>
              <w:sz w:val="24"/>
            </w:rPr>
            <w:t>（二）绩效评价依据</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_Toc11607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12</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"_Toc7609" </w:instrText>
          </w:r>
          <w:r>
            <w:fldChar w:fldCharType="separate"/>
          </w:r>
          <w:r>
            <w:rPr>
              <w:rFonts w:hint="eastAsia" w:asciiTheme="majorEastAsia" w:hAnsiTheme="majorEastAsia" w:eastAsiaTheme="majorEastAsia" w:cstheme="majorEastAsia"/>
              <w:sz w:val="24"/>
            </w:rPr>
            <w:t>（三）绩效评价内容</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_Toc7609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13</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"_Toc789" </w:instrText>
          </w:r>
          <w:r>
            <w:fldChar w:fldCharType="separate"/>
          </w:r>
          <w:r>
            <w:rPr>
              <w:rFonts w:hint="eastAsia" w:asciiTheme="majorEastAsia" w:hAnsiTheme="majorEastAsia" w:eastAsiaTheme="majorEastAsia" w:cstheme="majorEastAsia"/>
              <w:sz w:val="24"/>
            </w:rPr>
            <w:t>（四）绩效评价原则</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_Toc789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13</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"_Toc8171" </w:instrText>
          </w:r>
          <w:r>
            <w:fldChar w:fldCharType="separate"/>
          </w:r>
          <w:r>
            <w:rPr>
              <w:rFonts w:hint="eastAsia" w:asciiTheme="majorEastAsia" w:hAnsiTheme="majorEastAsia" w:eastAsiaTheme="majorEastAsia" w:cstheme="majorEastAsia"/>
              <w:sz w:val="24"/>
            </w:rPr>
            <w:t>（五）绩效评价方法</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_Toc8171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14</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"_Toc20821" </w:instrText>
          </w:r>
          <w:r>
            <w:fldChar w:fldCharType="separate"/>
          </w:r>
          <w:r>
            <w:rPr>
              <w:rFonts w:hint="eastAsia" w:asciiTheme="majorEastAsia" w:hAnsiTheme="majorEastAsia" w:eastAsiaTheme="majorEastAsia" w:cstheme="majorEastAsia"/>
              <w:sz w:val="24"/>
            </w:rPr>
            <w:t>（六）绩效评价工作过程</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_Toc20821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15</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"_Toc6467" </w:instrText>
          </w:r>
          <w:r>
            <w:fldChar w:fldCharType="separate"/>
          </w:r>
          <w:r>
            <w:rPr>
              <w:rFonts w:hint="eastAsia" w:asciiTheme="majorEastAsia" w:hAnsiTheme="majorEastAsia" w:eastAsiaTheme="majorEastAsia" w:cstheme="majorEastAsia"/>
              <w:b/>
              <w:bCs/>
              <w:sz w:val="24"/>
            </w:rPr>
            <w:t>四、绩效评价评分情况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_Toc6467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16</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"_Toc4390" </w:instrText>
          </w:r>
          <w:r>
            <w:fldChar w:fldCharType="separate"/>
          </w:r>
          <w:r>
            <w:rPr>
              <w:rFonts w:hint="eastAsia" w:asciiTheme="majorEastAsia" w:hAnsiTheme="majorEastAsia" w:eastAsiaTheme="majorEastAsia" w:cstheme="majorEastAsia"/>
              <w:sz w:val="24"/>
            </w:rPr>
            <w:t>（一）投入</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_Toc4390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16</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"_Toc19940" </w:instrText>
          </w:r>
          <w:r>
            <w:fldChar w:fldCharType="separate"/>
          </w:r>
          <w:r>
            <w:rPr>
              <w:rFonts w:hint="eastAsia" w:asciiTheme="majorEastAsia" w:hAnsiTheme="majorEastAsia" w:eastAsiaTheme="majorEastAsia" w:cstheme="majorEastAsia"/>
              <w:sz w:val="24"/>
            </w:rPr>
            <w:t>（二）过程</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_Toc19940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20</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"_Toc12330" </w:instrText>
          </w:r>
          <w:r>
            <w:fldChar w:fldCharType="separate"/>
          </w:r>
          <w:r>
            <w:rPr>
              <w:rFonts w:hint="eastAsia" w:asciiTheme="majorEastAsia" w:hAnsiTheme="majorEastAsia" w:eastAsiaTheme="majorEastAsia" w:cstheme="majorEastAsia"/>
              <w:sz w:val="24"/>
            </w:rPr>
            <w:t>（三）产出</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_Toc12330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27</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"_Toc28363" </w:instrText>
          </w:r>
          <w:r>
            <w:fldChar w:fldCharType="separate"/>
          </w:r>
          <w:r>
            <w:rPr>
              <w:rFonts w:hint="eastAsia" w:asciiTheme="majorEastAsia" w:hAnsiTheme="majorEastAsia" w:eastAsiaTheme="majorEastAsia" w:cstheme="majorEastAsia"/>
              <w:sz w:val="24"/>
            </w:rPr>
            <w:t>（四）效果</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_Toc28363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28</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sz w:val="24"/>
            </w:rPr>
          </w:pPr>
          <w:r>
            <w:fldChar w:fldCharType="begin"/>
          </w:r>
          <w:r>
            <w:instrText xml:space="preserve"> HYPERLINK \l "_Toc13757" </w:instrText>
          </w:r>
          <w:r>
            <w:fldChar w:fldCharType="separate"/>
          </w:r>
          <w:r>
            <w:rPr>
              <w:rFonts w:hint="eastAsia" w:asciiTheme="majorEastAsia" w:hAnsiTheme="majorEastAsia" w:eastAsiaTheme="majorEastAsia" w:cstheme="majorEastAsia"/>
              <w:b/>
              <w:bCs/>
              <w:sz w:val="24"/>
            </w:rPr>
            <w:t>五、绩效评价发现的问题</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_Toc13757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29</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8"/>
            <w:tabs>
              <w:tab w:val="right" w:leader="dot" w:pos="8312"/>
            </w:tabs>
            <w:spacing w:line="312" w:lineRule="auto"/>
            <w:ind w:left="0" w:leftChars="0"/>
            <w:rPr>
              <w:b/>
              <w:bCs/>
            </w:rPr>
          </w:pPr>
          <w:r>
            <w:fldChar w:fldCharType="begin"/>
          </w:r>
          <w:r>
            <w:instrText xml:space="preserve"> HYPERLINK \l "_Toc20723" </w:instrText>
          </w:r>
          <w:r>
            <w:fldChar w:fldCharType="separate"/>
          </w:r>
          <w:r>
            <w:rPr>
              <w:rFonts w:hint="eastAsia" w:asciiTheme="majorEastAsia" w:hAnsiTheme="majorEastAsia" w:eastAsiaTheme="majorEastAsia" w:cstheme="majorEastAsia"/>
              <w:b/>
              <w:bCs/>
              <w:sz w:val="24"/>
            </w:rPr>
            <w:t>六、绩效评价意见及建议</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_Toc20723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30</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spacing w:line="312" w:lineRule="auto"/>
            <w:ind w:firstLine="440" w:firstLineChars="200"/>
            <w:jc w:val="both"/>
            <w:sectPr>
              <w:footerReference r:id="rId4" w:type="default"/>
              <w:pgSz w:w="11906" w:h="16838"/>
              <w:pgMar w:top="1440" w:right="1797" w:bottom="1191" w:left="1797" w:header="709" w:footer="709" w:gutter="0"/>
              <w:pgNumType w:start="1"/>
              <w:cols w:space="708" w:num="1"/>
              <w:docGrid w:linePitch="360" w:charSpace="0"/>
            </w:sectPr>
          </w:pPr>
          <w:r>
            <w:rPr>
              <w:rFonts w:asciiTheme="minorEastAsia" w:hAnsiTheme="minorEastAsia" w:eastAsiaTheme="minorEastAsia"/>
              <w:szCs w:val="24"/>
            </w:rPr>
            <w:fldChar w:fldCharType="end"/>
          </w:r>
        </w:p>
      </w:sdtContent>
    </w:sdt>
    <w:p>
      <w:pPr>
        <w:pStyle w:val="3"/>
        <w:spacing w:line="540" w:lineRule="exact"/>
        <w:jc w:val="center"/>
        <w:rPr>
          <w:rFonts w:ascii="黑体" w:hAnsi="黑体"/>
          <w:b w:val="0"/>
        </w:rPr>
      </w:pPr>
      <w:bookmarkStart w:id="0" w:name="_Toc25184"/>
      <w:r>
        <w:rPr>
          <w:rFonts w:hint="eastAsia" w:ascii="黑体" w:hAnsi="黑体"/>
          <w:b w:val="0"/>
        </w:rPr>
        <w:t>第一部分   摘  要</w:t>
      </w:r>
      <w:bookmarkEnd w:id="0"/>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为深入贯彻落实中共中央国务院《关于全面实施预算绩效管理的意见》、中共河北省委河北省人民政府《关于全面实施预算绩效管理的实施意见》、河北省财政厅《全面实施预算绩效管理推进工作方案》的精神，进一步加强和规范预算绩效运行监控工作，确保绩效目标如期保质保量实现，提高预算执行效率和财政资金使用效益，我单位对</w:t>
      </w:r>
      <w:r>
        <w:rPr>
          <w:rFonts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年部门整体支出情况开展了绩效自评价工作。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保定市徐水区</w:t>
      </w:r>
      <w:r>
        <w:rPr>
          <w:rFonts w:hint="eastAsia" w:ascii="仿宋_GB2312" w:eastAsia="仿宋_GB2312" w:cs="DengXian-Regular"/>
          <w:sz w:val="32"/>
          <w:szCs w:val="32"/>
          <w:lang w:val="en-US" w:eastAsia="zh-CN"/>
        </w:rPr>
        <w:t>消防救援大队</w:t>
      </w:r>
      <w:r>
        <w:rPr>
          <w:rFonts w:hint="eastAsia" w:ascii="仿宋_GB2312" w:eastAsia="仿宋_GB2312" w:cs="DengXian-Regular"/>
          <w:sz w:val="32"/>
          <w:szCs w:val="32"/>
        </w:rPr>
        <w:t>为</w:t>
      </w:r>
      <w:r>
        <w:rPr>
          <w:rFonts w:hint="eastAsia" w:ascii="仿宋_GB2312" w:eastAsia="仿宋_GB2312" w:cs="DengXian-Regular"/>
          <w:sz w:val="32"/>
          <w:szCs w:val="32"/>
          <w:lang w:val="en-US" w:eastAsia="zh-CN"/>
        </w:rPr>
        <w:t>副处</w:t>
      </w:r>
      <w:r>
        <w:rPr>
          <w:rFonts w:hint="eastAsia" w:ascii="仿宋_GB2312" w:eastAsia="仿宋_GB2312" w:cs="DengXian-Regular"/>
          <w:sz w:val="32"/>
          <w:szCs w:val="32"/>
        </w:rPr>
        <w:t>级行政单位，经费保障形式为财政拨款，下设</w:t>
      </w:r>
      <w:r>
        <w:rPr>
          <w:rFonts w:hint="eastAsia" w:ascii="仿宋_GB2312" w:eastAsia="仿宋_GB2312" w:cs="DengXian-Regular"/>
          <w:sz w:val="32"/>
          <w:szCs w:val="32"/>
          <w:lang w:val="en-US" w:eastAsia="zh-CN"/>
        </w:rPr>
        <w:t>2个消防救援站，分别为长城大街消防救援站及中纺路消防救援站，</w:t>
      </w:r>
      <w:r>
        <w:rPr>
          <w:rFonts w:hint="eastAsia" w:ascii="仿宋_GB2312" w:eastAsia="仿宋_GB2312" w:cs="DengXian-Regular"/>
          <w:sz w:val="32"/>
          <w:szCs w:val="32"/>
        </w:rPr>
        <w:t>负责全区</w:t>
      </w:r>
      <w:r>
        <w:rPr>
          <w:rFonts w:hint="eastAsia" w:ascii="仿宋_GB2312" w:eastAsia="仿宋_GB2312" w:cs="DengXian-Regular"/>
          <w:sz w:val="32"/>
          <w:szCs w:val="32"/>
          <w:lang w:val="en-US" w:eastAsia="zh-CN"/>
        </w:rPr>
        <w:t>消防</w:t>
      </w:r>
      <w:r>
        <w:rPr>
          <w:rFonts w:hint="eastAsia" w:ascii="仿宋_GB2312" w:eastAsia="仿宋_GB2312" w:cs="DengXian-Regular"/>
          <w:sz w:val="32"/>
          <w:szCs w:val="32"/>
        </w:rPr>
        <w:t>工作。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评价是制定科学合理的评价方法、评价标准和指标体系，对财政资金的使用及产生的效益进行客观、公正的评价。通过部门整体支出绩效评价工作了解部门绩效目标和指标的设置及完成情况；部门整体资金预算情况、实际收支及结转结余情况；部门履职对社会发展所带来的直接或间接影响及服务对象对部门履职效果的满意程度，促使相关部门根据绩效评价过程中发现的问题，及时整改并总结经验，提高部门管理水平，牢固树立预算绩效理念，强化部门支出责任，提高预算执行效率和财政资金使用效益。</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评价工作经过了前期准备、绩效评价实施方案和指标体系制定、组织实施、绩效评价报告撰写四个阶段。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按照中共河北省委河北省人民政府《关于全面实施预算绩效管理的实施意见》的相关规定，以河北省财政厅《全面实施预算绩效管理推进工作方案》、《保定市徐水区部门预算绩效运行监控工作规程》中的相关工作要求作为评价标准，采取定量和定性评价相结合的方法，对资料进行审核、分析，实事求是、客观公正地完成了</w:t>
      </w:r>
      <w:r>
        <w:rPr>
          <w:rFonts w:hint="eastAsia" w:ascii="仿宋_GB2312" w:eastAsia="仿宋_GB2312" w:cs="DengXian-Regular"/>
          <w:sz w:val="32"/>
          <w:szCs w:val="32"/>
          <w:lang w:val="en-US" w:eastAsia="zh-CN"/>
        </w:rPr>
        <w:t>消防大队</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年部门整体支出绩效评价工作。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lang w:val="en-US" w:eastAsia="zh-CN"/>
        </w:rPr>
        <w:t>消防大队</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年部门整体支出绩效评价指标体系共设</w:t>
      </w:r>
      <w:r>
        <w:rPr>
          <w:rFonts w:hint="eastAsia" w:ascii="仿宋_GB2312" w:eastAsia="仿宋_GB2312" w:cs="DengXian-Regular"/>
          <w:color w:val="FF0000"/>
          <w:sz w:val="32"/>
          <w:szCs w:val="32"/>
        </w:rPr>
        <w:t>置4个一级指标、7个二级指标、27个三级指标，</w:t>
      </w:r>
      <w:r>
        <w:rPr>
          <w:rFonts w:hint="eastAsia" w:ascii="仿宋_GB2312" w:eastAsia="仿宋_GB2312" w:cs="DengXian-Regular"/>
          <w:sz w:val="32"/>
          <w:szCs w:val="32"/>
        </w:rPr>
        <w:t>从投入、过程、产出、效果四个方面对</w:t>
      </w:r>
      <w:r>
        <w:rPr>
          <w:rFonts w:hint="eastAsia" w:ascii="仿宋_GB2312" w:eastAsia="仿宋_GB2312" w:cs="DengXian-Regular"/>
          <w:sz w:val="32"/>
          <w:szCs w:val="32"/>
          <w:lang w:val="en-US" w:eastAsia="zh-CN"/>
        </w:rPr>
        <w:t>消防大队</w:t>
      </w:r>
      <w:r>
        <w:rPr>
          <w:rFonts w:hint="eastAsia" w:ascii="仿宋_GB2312" w:eastAsia="仿宋_GB2312" w:cs="DengXian-Regular"/>
          <w:sz w:val="32"/>
          <w:szCs w:val="32"/>
        </w:rPr>
        <w:t>部门整体支出情况评分定级。指标体系设定满分为100分，绩效评价分值≥90为“优”；80≤分值＜90为“良”；60≤分值＜80为“合格”；60分以下为“差”。</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lang w:val="en-US" w:eastAsia="zh-CN"/>
        </w:rPr>
        <w:t>消防大队</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年部门整体支出综合评价得分为</w:t>
      </w:r>
      <w:r>
        <w:rPr>
          <w:rFonts w:hint="eastAsia" w:ascii="仿宋_GB2312" w:eastAsia="仿宋_GB2312" w:cs="DengXian-Regular"/>
          <w:color w:val="FF0000"/>
          <w:sz w:val="32"/>
          <w:szCs w:val="32"/>
          <w:lang w:val="en-US" w:eastAsia="zh-CN"/>
        </w:rPr>
        <w:t>99</w:t>
      </w:r>
      <w:r>
        <w:rPr>
          <w:rFonts w:hint="eastAsia" w:ascii="仿宋_GB2312" w:eastAsia="仿宋_GB2312" w:cs="DengXian-Regular"/>
          <w:sz w:val="32"/>
          <w:szCs w:val="32"/>
        </w:rPr>
        <w:t>分，评价等级为“</w:t>
      </w:r>
      <w:r>
        <w:rPr>
          <w:rFonts w:hint="eastAsia" w:ascii="仿宋_GB2312" w:eastAsia="仿宋_GB2312" w:cs="DengXian-Regular"/>
          <w:sz w:val="32"/>
          <w:szCs w:val="32"/>
          <w:lang w:val="en-US" w:eastAsia="zh-CN"/>
        </w:rPr>
        <w:t>优</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经评价，</w:t>
      </w:r>
      <w:r>
        <w:rPr>
          <w:rFonts w:hint="eastAsia" w:ascii="仿宋_GB2312" w:eastAsia="仿宋_GB2312" w:cs="DengXian-Regular"/>
          <w:sz w:val="32"/>
          <w:szCs w:val="32"/>
          <w:lang w:val="en-US" w:eastAsia="zh-CN"/>
        </w:rPr>
        <w:t>消防大队</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部门预算编制完整性、项目预算细化率、在职人员控制率、收入完成率、财政拨款支出完成率、“三公经费”控制率、资金使用合规性、决算真实性、管理制度健全性、预决算信息公开、资产管理规范性、绩效自评覆盖率、绩效评价优等率、结转结余率、部门整体效益等指标完成情况较好。</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通过本次绩效评价工作，发现我单位在以下几个方面存在一些不足之处，具体如下：</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1.绩效指标方面</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2.预算决算比较</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3.预算追加方面</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4.政府采购方面</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5.项目资金使用率</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6.部分基础数据信息方面</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针对此次绩效评价过程中发现的问题，我们建议：</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1.增强绩效指标设置的明确性</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工作活动、预算项目绩效指标应当清晰、可评价、可衡量。建议在设置职责活动绩效指标时，将绩效目标细化分解为具体的工作任务数，从而使绩效目标可量化，便于对目标实现情况进行考核。</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2.提高预算编制质量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部门预算编制工作要全面反映和体现部门职责，根据具体情况及时调整预算的编制，缩小预算与决算差额，减少中期预算追加，提高预算编制质量，发挥预算约束作用。</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3.强化政府采购执行</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建议严格按照《中华人民共和国政府采购法》及河北省2017年《政府采购集中采购目录和限额标准》的相关规定，执行政府采购，加快预算执行进度，提高政府采购效率。</w:t>
      </w:r>
      <w:bookmarkStart w:id="1" w:name="_Toc4346"/>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4.提高项目资金使用率</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建议</w:t>
      </w:r>
      <w:r>
        <w:rPr>
          <w:rFonts w:hint="eastAsia" w:ascii="仿宋_GB2312" w:eastAsia="仿宋_GB2312" w:cs="Times New Roman" w:hAnsiTheme="minorEastAsia"/>
          <w:sz w:val="32"/>
          <w:szCs w:val="32"/>
          <w:u w:color="000000"/>
          <w:lang w:val="en-US" w:eastAsia="zh-CN"/>
        </w:rPr>
        <w:t>消防大队</w:t>
      </w:r>
      <w:r>
        <w:rPr>
          <w:rFonts w:hint="eastAsia" w:ascii="仿宋_GB2312" w:eastAsia="仿宋_GB2312" w:cs="Times New Roman" w:hAnsiTheme="minorEastAsia"/>
          <w:sz w:val="32"/>
          <w:szCs w:val="32"/>
          <w:u w:color="000000"/>
        </w:rPr>
        <w:t>对项目资金进行梳理，督促项目进度和资金拨付进度，应拨付的资金及时拨付，不具备条件的资金及时收回，同时，对于按规定可以结转至下年的中央及省级项目资金，在下年的项目安排时优先考虑。</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w:t>
      </w:r>
      <w:r>
        <w:rPr>
          <w:rFonts w:ascii="仿宋_GB2312" w:eastAsia="仿宋_GB2312" w:cs="DengXian-Regular"/>
          <w:sz w:val="32"/>
          <w:szCs w:val="32"/>
        </w:rPr>
        <w:t>.完善基础信息管理</w:t>
      </w:r>
    </w:p>
    <w:p>
      <w:pPr>
        <w:spacing w:after="0" w:line="360" w:lineRule="auto"/>
        <w:ind w:firstLine="640" w:firstLineChars="200"/>
        <w:jc w:val="both"/>
        <w:textAlignment w:val="baseline"/>
        <w:rPr>
          <w:rFonts w:ascii="仿宋_GB2312" w:eastAsia="仿宋_GB2312" w:cs="DengXian-Regular"/>
          <w:sz w:val="32"/>
          <w:szCs w:val="32"/>
        </w:rPr>
      </w:pPr>
      <w:r>
        <w:rPr>
          <w:rFonts w:ascii="仿宋_GB2312" w:eastAsia="仿宋_GB2312" w:cs="DengXian-Regular"/>
          <w:sz w:val="32"/>
          <w:szCs w:val="32"/>
        </w:rPr>
        <w:t>建议严格按照档案管理的相关规定对基础数据信息档案资料及时归档保存，保证项目资料的完整性和可查阅性。</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6.预算安排建议</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项目资金方面：</w:t>
      </w:r>
      <w:r>
        <w:rPr>
          <w:rFonts w:ascii="仿宋_GB2312" w:eastAsia="仿宋_GB2312" w:cs="DengXian-Regular"/>
          <w:sz w:val="32"/>
          <w:szCs w:val="32"/>
        </w:rPr>
        <w:t>20</w:t>
      </w:r>
      <w:r>
        <w:rPr>
          <w:rFonts w:hint="default" w:ascii="仿宋_GB2312" w:eastAsia="仿宋_GB2312" w:cs="DengXian-Regular"/>
          <w:sz w:val="32"/>
          <w:szCs w:val="32"/>
          <w:lang w:val="en-US"/>
        </w:rPr>
        <w:t>2</w:t>
      </w:r>
      <w:r>
        <w:rPr>
          <w:rFonts w:hint="eastAsia" w:ascii="仿宋_GB2312" w:eastAsia="仿宋_GB2312" w:cs="DengXian-Regular"/>
          <w:sz w:val="32"/>
          <w:szCs w:val="32"/>
          <w:lang w:val="en-US" w:eastAsia="zh-CN"/>
        </w:rPr>
        <w:t>1</w:t>
      </w:r>
      <w:r>
        <w:rPr>
          <w:rFonts w:ascii="仿宋_GB2312" w:eastAsia="仿宋_GB2312" w:cs="DengXian-Regular"/>
          <w:sz w:val="32"/>
          <w:szCs w:val="32"/>
        </w:rPr>
        <w:t>年项目支出资金使用率较低，</w:t>
      </w:r>
      <w:r>
        <w:rPr>
          <w:rFonts w:hint="eastAsia" w:ascii="仿宋_GB2312" w:eastAsia="仿宋_GB2312" w:cs="DengXian-Regular"/>
          <w:sz w:val="32"/>
          <w:szCs w:val="32"/>
        </w:rPr>
        <w:t>针对</w:t>
      </w:r>
      <w:r>
        <w:rPr>
          <w:rFonts w:ascii="仿宋_GB2312" w:eastAsia="仿宋_GB2312" w:cs="DengXian-Regular"/>
          <w:sz w:val="32"/>
          <w:szCs w:val="32"/>
        </w:rPr>
        <w:t>部分未实施项目资金结转至下一年度</w:t>
      </w:r>
      <w:r>
        <w:rPr>
          <w:rFonts w:hint="eastAsia" w:ascii="仿宋_GB2312" w:eastAsia="仿宋_GB2312" w:cs="DengXian-Regular"/>
          <w:sz w:val="32"/>
          <w:szCs w:val="32"/>
        </w:rPr>
        <w:t>的，建议</w:t>
      </w:r>
      <w:r>
        <w:rPr>
          <w:rFonts w:ascii="仿宋_GB2312" w:eastAsia="仿宋_GB2312" w:cs="DengXian-Regular"/>
          <w:sz w:val="32"/>
          <w:szCs w:val="32"/>
        </w:rPr>
        <w:t>202</w:t>
      </w:r>
      <w:r>
        <w:rPr>
          <w:rFonts w:hint="eastAsia" w:ascii="仿宋_GB2312" w:eastAsia="仿宋_GB2312" w:cs="DengXian-Regular"/>
          <w:sz w:val="32"/>
          <w:szCs w:val="32"/>
          <w:lang w:val="en-US" w:eastAsia="zh-CN"/>
        </w:rPr>
        <w:t>2</w:t>
      </w:r>
      <w:r>
        <w:rPr>
          <w:rFonts w:ascii="仿宋_GB2312" w:eastAsia="仿宋_GB2312" w:cs="DengXian-Regular"/>
          <w:sz w:val="32"/>
          <w:szCs w:val="32"/>
        </w:rPr>
        <w:t>年预算不增加</w:t>
      </w:r>
      <w:r>
        <w:rPr>
          <w:rFonts w:hint="eastAsia" w:ascii="仿宋_GB2312" w:eastAsia="仿宋_GB2312" w:cs="DengXian-Regular"/>
          <w:sz w:val="32"/>
          <w:szCs w:val="32"/>
        </w:rPr>
        <w:t>该部分</w:t>
      </w:r>
      <w:r>
        <w:rPr>
          <w:rFonts w:ascii="仿宋_GB2312" w:eastAsia="仿宋_GB2312" w:cs="DengXian-Regular"/>
          <w:sz w:val="32"/>
          <w:szCs w:val="32"/>
        </w:rPr>
        <w:t>项目资金预算</w:t>
      </w:r>
      <w:r>
        <w:rPr>
          <w:rFonts w:hint="eastAsia" w:ascii="仿宋_GB2312" w:eastAsia="仿宋_GB2312" w:cs="DengXian-Regular"/>
          <w:sz w:val="32"/>
          <w:szCs w:val="32"/>
        </w:rPr>
        <w:t>；</w:t>
      </w:r>
      <w:r>
        <w:rPr>
          <w:rFonts w:ascii="仿宋_GB2312" w:eastAsia="仿宋_GB2312" w:cs="DengXian-Regular"/>
          <w:sz w:val="32"/>
          <w:szCs w:val="32"/>
        </w:rPr>
        <w:t>其他项目资金根据实际情况予以保持或适当</w:t>
      </w:r>
      <w:r>
        <w:rPr>
          <w:rFonts w:hint="eastAsia" w:ascii="仿宋_GB2312" w:eastAsia="仿宋_GB2312" w:cs="DengXian-Regular"/>
          <w:sz w:val="32"/>
          <w:szCs w:val="32"/>
        </w:rPr>
        <w:t>增减</w:t>
      </w:r>
      <w:r>
        <w:rPr>
          <w:rFonts w:ascii="仿宋_GB2312" w:eastAsia="仿宋_GB2312" w:cs="DengXian-Regular"/>
          <w:sz w:val="32"/>
          <w:szCs w:val="32"/>
        </w:rPr>
        <w:t>。</w:t>
      </w:r>
    </w:p>
    <w:p>
      <w:pPr>
        <w:pStyle w:val="3"/>
        <w:spacing w:line="540" w:lineRule="exact"/>
        <w:jc w:val="center"/>
        <w:rPr>
          <w:rFonts w:ascii="黑体" w:hAnsi="黑体"/>
          <w:b w:val="0"/>
        </w:rPr>
      </w:pPr>
      <w:r>
        <w:rPr>
          <w:rFonts w:hint="eastAsia" w:ascii="黑体" w:hAnsi="黑体"/>
          <w:b w:val="0"/>
        </w:rPr>
        <w:t>第二部分   绩效评价报告</w:t>
      </w:r>
      <w:bookmarkEnd w:id="1"/>
    </w:p>
    <w:p>
      <w:pPr>
        <w:pStyle w:val="3"/>
        <w:spacing w:before="0" w:after="0" w:line="360" w:lineRule="auto"/>
        <w:ind w:firstLine="643" w:firstLineChars="200"/>
        <w:rPr>
          <w:rFonts w:ascii="楷体" w:hAnsi="楷体" w:eastAsia="楷体" w:cs="楷体"/>
        </w:rPr>
      </w:pPr>
      <w:bookmarkStart w:id="2" w:name="_Toc492652763"/>
      <w:bookmarkStart w:id="3" w:name="_Toc427"/>
      <w:r>
        <w:rPr>
          <w:rFonts w:hint="eastAsia" w:ascii="楷体" w:hAnsi="楷体" w:eastAsia="楷体" w:cs="楷体"/>
        </w:rPr>
        <w:t>一、保定市徐水区</w:t>
      </w:r>
      <w:r>
        <w:rPr>
          <w:rFonts w:hint="eastAsia" w:ascii="楷体" w:hAnsi="楷体" w:eastAsia="楷体" w:cs="楷体"/>
          <w:lang w:val="en-US" w:eastAsia="zh-CN"/>
        </w:rPr>
        <w:t>消防救援大队</w:t>
      </w:r>
      <w:r>
        <w:rPr>
          <w:rFonts w:hint="eastAsia" w:ascii="楷体" w:hAnsi="楷体" w:eastAsia="楷体" w:cs="楷体"/>
        </w:rPr>
        <w:t>单位基本情况</w:t>
      </w:r>
      <w:bookmarkEnd w:id="2"/>
      <w:bookmarkEnd w:id="3"/>
      <w:bookmarkStart w:id="4" w:name="_Toc492652764"/>
    </w:p>
    <w:p>
      <w:pPr>
        <w:pStyle w:val="4"/>
        <w:spacing w:before="0" w:after="0"/>
        <w:ind w:firstLine="643" w:firstLineChars="200"/>
        <w:jc w:val="both"/>
        <w:rPr>
          <w:rFonts w:ascii="仿宋_GB2312" w:hAnsi="Tahoma" w:cs="DengXian-Regular"/>
          <w:sz w:val="32"/>
        </w:rPr>
      </w:pPr>
      <w:bookmarkStart w:id="5" w:name="_Toc11473"/>
      <w:r>
        <w:rPr>
          <w:rFonts w:hint="eastAsia" w:ascii="仿宋_GB2312" w:hAnsi="Tahoma" w:cs="DengXian-Regular"/>
          <w:sz w:val="32"/>
        </w:rPr>
        <w:t>（一）部门职责和工作活动</w:t>
      </w:r>
      <w:bookmarkEnd w:id="4"/>
      <w:bookmarkEnd w:id="5"/>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 xml:space="preserve"> 一、消防宣传及防灭火抢险救援，组织开展消防宣传。对机关、团体、企业、事业单位遵守消防法律、法规情况进行监督管理，对专职、义务消防队进行指导，督促有关单位整改火灾隐患，落实消防安全措施，防止火灾的发生，减少火灾的损失，积极参加社会抢险救援，保卫国家经济建设，保护公共财产和人民生命财产的安全。</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二、消防宣传与法律监督管理，组织开展消防宣传，对机关、团体、企业、事业单位遵守消防法律、法规情况进行监督管理。</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三、防灭火及社会抢险救援，积极参加各类火灾扑救工作及社会抢险救援，保卫国家经济建设，保护公共财产和人民生命财产安全。</w:t>
      </w:r>
    </w:p>
    <w:p>
      <w:pPr>
        <w:pStyle w:val="4"/>
        <w:spacing w:before="0" w:after="0"/>
        <w:ind w:firstLine="643" w:firstLineChars="200"/>
        <w:jc w:val="both"/>
        <w:rPr>
          <w:rFonts w:ascii="仿宋_GB2312" w:hAnsi="Tahoma" w:cs="DengXian-Regular"/>
          <w:color w:val="FF0000"/>
          <w:sz w:val="32"/>
        </w:rPr>
      </w:pPr>
      <w:bookmarkStart w:id="6" w:name="_Toc465149499"/>
      <w:bookmarkStart w:id="7" w:name="_Toc492652765"/>
      <w:bookmarkStart w:id="8" w:name="_Toc7075"/>
      <w:r>
        <w:rPr>
          <w:rFonts w:hint="eastAsia" w:ascii="仿宋_GB2312" w:hAnsi="Tahoma" w:cs="DengXian-Regular"/>
          <w:color w:val="FF0000"/>
          <w:sz w:val="32"/>
        </w:rPr>
        <w:t>（二）</w:t>
      </w:r>
      <w:bookmarkEnd w:id="6"/>
      <w:r>
        <w:rPr>
          <w:rFonts w:hint="eastAsia" w:ascii="仿宋_GB2312" w:hAnsi="Tahoma" w:cs="DengXian-Regular"/>
          <w:color w:val="FF0000"/>
          <w:sz w:val="32"/>
        </w:rPr>
        <w:t>部门年度发展规划总体目标和职责分类绩效目标</w:t>
      </w:r>
      <w:bookmarkEnd w:id="7"/>
      <w:bookmarkEnd w:id="8"/>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按照202</w:t>
      </w:r>
      <w:r>
        <w:rPr>
          <w:rFonts w:hint="default" w:ascii="仿宋_GB2312" w:eastAsia="仿宋_GB2312" w:cs="DengXian-Regular"/>
          <w:sz w:val="32"/>
          <w:szCs w:val="32"/>
          <w:lang w:val="en-US"/>
        </w:rPr>
        <w:t>1</w:t>
      </w:r>
      <w:r>
        <w:rPr>
          <w:rFonts w:hint="eastAsia" w:ascii="仿宋_GB2312" w:eastAsia="仿宋_GB2312" w:cs="DengXian-Regular"/>
          <w:sz w:val="32"/>
          <w:szCs w:val="32"/>
        </w:rPr>
        <w:t>年绩效预算编制要求，</w:t>
      </w:r>
      <w:r>
        <w:rPr>
          <w:rFonts w:hint="eastAsia" w:ascii="仿宋_GB2312" w:eastAsia="仿宋_GB2312" w:cs="DengXian-Regular"/>
          <w:sz w:val="32"/>
          <w:szCs w:val="32"/>
          <w:lang w:val="en-US" w:eastAsia="zh-CN"/>
        </w:rPr>
        <w:t>消防大队</w:t>
      </w:r>
      <w:r>
        <w:rPr>
          <w:rFonts w:hint="eastAsia" w:ascii="仿宋_GB2312" w:eastAsia="仿宋_GB2312" w:cs="DengXian-Regular"/>
          <w:sz w:val="32"/>
          <w:szCs w:val="32"/>
        </w:rPr>
        <w:t>设置的年度发展规划总体目标为：</w:t>
      </w:r>
      <w:bookmarkStart w:id="80" w:name="_GoBack"/>
      <w:bookmarkEnd w:id="80"/>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负责贯彻执行党和国家关于制定XXX工作要点，并监督实施。指导全区XXX工作。制定XXX规划并组织实施，指导检查全区XX工作。负责全区XX工作，负责全区XX工作。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职责分类绩效目标为：</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1.开展XX工作。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2.开展XX工作。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3.开展XX工作。</w:t>
      </w:r>
      <w:bookmarkStart w:id="9" w:name="_Toc1678"/>
      <w:bookmarkStart w:id="10" w:name="_Toc492652766"/>
      <w:bookmarkStart w:id="11" w:name="_Toc465149500"/>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（三）部门预算收入及决算收入</w:t>
      </w:r>
      <w:bookmarkEnd w:id="9"/>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区XXX单位预算收入XXX万元，均为一般公共预算拨款，其中：财政拨款XXX万元，中央财政提前通知转移支付XX万元。预算收入按功能分类包含：公共安全支出XX万元，社会保障和就业支出XX万元，医疗卫生与计划生育支出XX万元，住房保障支出XX万元。具体预算收入详见附件2。</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区XXX单位决算收入XXX万元，其中：财政拨款收入XXX万元，其他收入XX万元（全部为利息收入）。决算收入按功能分类包含：公共安全支出XX万元，占比XX%；社会保障和就业支出XX万元，占比XX%；医疗卫生与计划生育支出XX万元，占比XX%；住房保障支出XX万元，占比XX%。具体决算收入详见附件</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2。决算收入结构如图1。</w:t>
      </w:r>
    </w:p>
    <w:p>
      <w:pPr>
        <w:spacing w:after="0" w:line="360" w:lineRule="auto"/>
        <w:jc w:val="center"/>
        <w:textAlignment w:val="baseline"/>
        <w:rPr>
          <w:rFonts w:ascii="仿宋_GB2312" w:eastAsia="仿宋_GB2312" w:cs="DengXian-Regular"/>
          <w:sz w:val="32"/>
          <w:szCs w:val="32"/>
        </w:rPr>
      </w:pPr>
      <w:r>
        <w:rPr>
          <w:rFonts w:hint="eastAsia" w:asciiTheme="minorEastAsia" w:hAnsiTheme="minorEastAsia" w:eastAsiaTheme="minorEastAsia" w:cstheme="minorEastAsia"/>
          <w:b/>
          <w:bCs/>
          <w:sz w:val="32"/>
          <w:szCs w:val="32"/>
        </w:rPr>
        <w:t>图1  202</w:t>
      </w:r>
      <w:r>
        <w:rPr>
          <w:rFonts w:hint="default" w:asciiTheme="minorEastAsia" w:hAnsiTheme="minorEastAsia" w:eastAsiaTheme="minorEastAsia" w:cstheme="minorEastAsia"/>
          <w:b/>
          <w:bCs/>
          <w:sz w:val="32"/>
          <w:szCs w:val="32"/>
          <w:lang w:val="en-US"/>
        </w:rPr>
        <w:t>1</w:t>
      </w:r>
      <w:r>
        <w:rPr>
          <w:rFonts w:hint="eastAsia" w:asciiTheme="minorEastAsia" w:hAnsiTheme="minorEastAsia" w:eastAsiaTheme="minorEastAsia" w:cstheme="minorEastAsia"/>
          <w:b/>
          <w:bCs/>
          <w:sz w:val="32"/>
          <w:szCs w:val="32"/>
        </w:rPr>
        <w:t>年度区</w:t>
      </w:r>
      <w:r>
        <w:rPr>
          <w:rFonts w:hint="eastAsia" w:ascii="仿宋_GB2312" w:eastAsia="仿宋_GB2312" w:cs="DengXian-Regular"/>
          <w:sz w:val="32"/>
          <w:szCs w:val="32"/>
        </w:rPr>
        <w:t>XXX单位</w:t>
      </w:r>
      <w:r>
        <w:rPr>
          <w:rFonts w:hint="eastAsia" w:asciiTheme="minorEastAsia" w:hAnsiTheme="minorEastAsia" w:eastAsiaTheme="minorEastAsia" w:cstheme="minorEastAsia"/>
          <w:b/>
          <w:bCs/>
          <w:sz w:val="32"/>
          <w:szCs w:val="32"/>
        </w:rPr>
        <w:t>决算收入结构图</w:t>
      </w:r>
    </w:p>
    <w:p>
      <w:pPr>
        <w:spacing w:after="0" w:line="540" w:lineRule="exact"/>
        <w:ind w:firstLine="440" w:firstLineChars="200"/>
        <w:jc w:val="both"/>
        <w:rPr>
          <w:rFonts w:ascii="仿宋_GB2312" w:eastAsia="仿宋_GB2312" w:cs="Times New Roman" w:hAnsiTheme="minorEastAsia"/>
          <w:sz w:val="32"/>
          <w:szCs w:val="32"/>
          <w:u w:color="000000"/>
        </w:rPr>
      </w:pPr>
      <w:r>
        <w:drawing>
          <wp:anchor distT="0" distB="0" distL="114300" distR="114300" simplePos="0" relativeHeight="251659264" behindDoc="0" locked="0" layoutInCell="1" allowOverlap="1">
            <wp:simplePos x="0" y="0"/>
            <wp:positionH relativeFrom="column">
              <wp:posOffset>394970</wp:posOffset>
            </wp:positionH>
            <wp:positionV relativeFrom="paragraph">
              <wp:posOffset>56515</wp:posOffset>
            </wp:positionV>
            <wp:extent cx="4562475" cy="2866390"/>
            <wp:effectExtent l="0" t="0" r="0" b="0"/>
            <wp:wrapSquare wrapText="bothSides"/>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after="0" w:line="540" w:lineRule="exact"/>
        <w:ind w:firstLine="640" w:firstLineChars="200"/>
        <w:jc w:val="both"/>
        <w:rPr>
          <w:rFonts w:ascii="仿宋_GB2312" w:eastAsia="仿宋_GB2312" w:cs="Times New Roman" w:hAnsiTheme="minorEastAsia"/>
          <w:sz w:val="32"/>
          <w:szCs w:val="32"/>
          <w:u w:color="000000"/>
        </w:rPr>
      </w:pPr>
    </w:p>
    <w:p>
      <w:pPr>
        <w:spacing w:after="0" w:line="540" w:lineRule="exact"/>
        <w:ind w:firstLine="640" w:firstLineChars="200"/>
        <w:jc w:val="both"/>
        <w:rPr>
          <w:rFonts w:ascii="仿宋_GB2312" w:eastAsia="仿宋_GB2312" w:cs="DengXian-Regular"/>
          <w:sz w:val="32"/>
          <w:szCs w:val="32"/>
        </w:rPr>
      </w:pPr>
    </w:p>
    <w:p>
      <w:pPr>
        <w:spacing w:after="0" w:line="540" w:lineRule="exact"/>
        <w:ind w:firstLine="640" w:firstLineChars="200"/>
        <w:jc w:val="both"/>
        <w:rPr>
          <w:rFonts w:ascii="仿宋_GB2312" w:eastAsia="仿宋_GB2312" w:cs="DengXian-Regular"/>
          <w:sz w:val="32"/>
          <w:szCs w:val="32"/>
        </w:rPr>
      </w:pPr>
    </w:p>
    <w:p>
      <w:pPr>
        <w:spacing w:after="0" w:line="540" w:lineRule="exact"/>
        <w:ind w:firstLine="640" w:firstLineChars="200"/>
        <w:jc w:val="both"/>
        <w:rPr>
          <w:rFonts w:ascii="仿宋_GB2312" w:eastAsia="仿宋_GB2312" w:cs="DengXian-Regular"/>
          <w:sz w:val="32"/>
          <w:szCs w:val="32"/>
        </w:rPr>
      </w:pPr>
    </w:p>
    <w:p>
      <w:pPr>
        <w:spacing w:after="0" w:line="540" w:lineRule="exact"/>
        <w:ind w:firstLine="640" w:firstLineChars="200"/>
        <w:jc w:val="both"/>
        <w:rPr>
          <w:rFonts w:ascii="仿宋_GB2312" w:eastAsia="仿宋_GB2312" w:cs="DengXian-Regular"/>
          <w:sz w:val="32"/>
          <w:szCs w:val="32"/>
        </w:rPr>
      </w:pPr>
    </w:p>
    <w:p>
      <w:pPr>
        <w:spacing w:after="0" w:line="540" w:lineRule="exact"/>
        <w:ind w:firstLine="640" w:firstLineChars="200"/>
        <w:jc w:val="both"/>
        <w:rPr>
          <w:rFonts w:ascii="仿宋_GB2312" w:eastAsia="仿宋_GB2312" w:cs="DengXian-Regular"/>
          <w:sz w:val="32"/>
          <w:szCs w:val="32"/>
        </w:rPr>
      </w:pPr>
    </w:p>
    <w:p>
      <w:pPr>
        <w:spacing w:after="0" w:line="540" w:lineRule="exact"/>
        <w:ind w:firstLine="640" w:firstLineChars="200"/>
        <w:jc w:val="both"/>
        <w:rPr>
          <w:rFonts w:ascii="仿宋_GB2312" w:eastAsia="仿宋_GB2312" w:cs="DengXian-Regular"/>
          <w:sz w:val="32"/>
          <w:szCs w:val="32"/>
        </w:rPr>
      </w:pPr>
    </w:p>
    <w:p>
      <w:pPr>
        <w:spacing w:after="0" w:line="540" w:lineRule="exact"/>
        <w:ind w:firstLine="640" w:firstLineChars="200"/>
        <w:jc w:val="both"/>
        <w:rPr>
          <w:rFonts w:ascii="仿宋_GB2312" w:eastAsia="仿宋_GB2312" w:cs="DengXian-Regular"/>
          <w:sz w:val="32"/>
          <w:szCs w:val="32"/>
        </w:rPr>
      </w:pP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XXX单位一般公共预算财政拨款决算收入比年初预算增加（减少）XX万元，完成年初预算的XX%。决算收入大于（小于）预算收入的主要原因为202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年度区XXX单位.........。预算收入与决算收入对比情况见图2。</w:t>
      </w:r>
    </w:p>
    <w:p>
      <w:pPr>
        <w:spacing w:after="0" w:line="360" w:lineRule="auto"/>
        <w:jc w:val="center"/>
        <w:rPr>
          <w:rFonts w:ascii="仿宋_GB2312" w:eastAsia="仿宋_GB2312" w:cs="Times New Roman" w:hAnsiTheme="minorEastAsia"/>
          <w:bCs/>
          <w:sz w:val="32"/>
          <w:szCs w:val="32"/>
          <w:u w:color="000000"/>
        </w:rPr>
      </w:pPr>
      <w:r>
        <w:rPr>
          <w:rFonts w:hint="eastAsia" w:asciiTheme="minorEastAsia" w:hAnsiTheme="minorEastAsia" w:eastAsiaTheme="minorEastAsia" w:cstheme="minorEastAsia"/>
          <w:b/>
          <w:sz w:val="32"/>
          <w:szCs w:val="32"/>
          <w:u w:color="000000"/>
        </w:rPr>
        <w:t>图2  202</w:t>
      </w:r>
      <w:r>
        <w:rPr>
          <w:rFonts w:hint="default" w:asciiTheme="minorEastAsia" w:hAnsiTheme="minorEastAsia" w:eastAsiaTheme="minorEastAsia" w:cstheme="minorEastAsia"/>
          <w:b/>
          <w:sz w:val="32"/>
          <w:szCs w:val="32"/>
          <w:u w:color="000000"/>
          <w:lang w:val="en-US"/>
        </w:rPr>
        <w:t>1</w:t>
      </w:r>
      <w:r>
        <w:rPr>
          <w:rFonts w:hint="eastAsia" w:asciiTheme="minorEastAsia" w:hAnsiTheme="minorEastAsia" w:eastAsiaTheme="minorEastAsia" w:cstheme="minorEastAsia"/>
          <w:b/>
          <w:sz w:val="32"/>
          <w:szCs w:val="32"/>
          <w:u w:color="000000"/>
        </w:rPr>
        <w:t>年度区</w:t>
      </w:r>
      <w:r>
        <w:rPr>
          <w:rFonts w:hint="eastAsia" w:ascii="仿宋_GB2312" w:eastAsia="仿宋_GB2312" w:cs="DengXian-Regular"/>
          <w:sz w:val="32"/>
          <w:szCs w:val="32"/>
        </w:rPr>
        <w:t>XXX单位</w:t>
      </w:r>
      <w:r>
        <w:rPr>
          <w:rFonts w:hint="eastAsia" w:asciiTheme="minorEastAsia" w:hAnsiTheme="minorEastAsia" w:eastAsiaTheme="minorEastAsia" w:cstheme="minorEastAsia"/>
          <w:b/>
          <w:sz w:val="32"/>
          <w:szCs w:val="32"/>
          <w:u w:color="000000"/>
        </w:rPr>
        <w:t>预算收入与决算收入对比图</w:t>
      </w:r>
    </w:p>
    <w:p>
      <w:pPr>
        <w:pStyle w:val="4"/>
        <w:spacing w:before="0" w:after="0"/>
        <w:ind w:firstLine="643" w:firstLineChars="200"/>
        <w:jc w:val="both"/>
        <w:rPr>
          <w:rFonts w:ascii="仿宋_GB2312" w:hAnsiTheme="minorEastAsia"/>
          <w:sz w:val="32"/>
        </w:rPr>
      </w:pPr>
      <w:bookmarkStart w:id="12" w:name="_Toc18197"/>
      <w:r>
        <w:rPr>
          <w:rFonts w:hint="eastAsia" w:ascii="仿宋_GB2312" w:hAnsiTheme="minorEastAsia"/>
          <w:sz w:val="32"/>
        </w:rPr>
        <w:drawing>
          <wp:anchor distT="0" distB="0" distL="114300" distR="114300" simplePos="0" relativeHeight="251660288" behindDoc="0" locked="0" layoutInCell="1" allowOverlap="1">
            <wp:simplePos x="0" y="0"/>
            <wp:positionH relativeFrom="column">
              <wp:posOffset>77470</wp:posOffset>
            </wp:positionH>
            <wp:positionV relativeFrom="paragraph">
              <wp:posOffset>126365</wp:posOffset>
            </wp:positionV>
            <wp:extent cx="5122545" cy="2747010"/>
            <wp:effectExtent l="0" t="0" r="0" b="0"/>
            <wp:wrapSquare wrapText="bothSides"/>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仿宋_GB2312" w:hAnsiTheme="minorEastAsia"/>
          <w:sz w:val="32"/>
        </w:rPr>
        <w:t>（四）预算支出及决算</w:t>
      </w:r>
      <w:bookmarkEnd w:id="10"/>
      <w:bookmarkEnd w:id="11"/>
      <w:r>
        <w:rPr>
          <w:rFonts w:hint="eastAsia" w:ascii="仿宋_GB2312" w:hAnsiTheme="minorEastAsia"/>
          <w:sz w:val="32"/>
        </w:rPr>
        <w:t>支出</w:t>
      </w:r>
      <w:bookmarkEnd w:id="12"/>
    </w:p>
    <w:p>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年度区XXX单位</w:t>
      </w:r>
      <w:r>
        <w:rPr>
          <w:rFonts w:hint="eastAsia" w:ascii="仿宋_GB2312" w:eastAsia="仿宋_GB2312" w:cs="Times New Roman" w:hAnsiTheme="minorEastAsia"/>
          <w:sz w:val="32"/>
          <w:szCs w:val="32"/>
          <w:u w:color="000000"/>
        </w:rPr>
        <w:t>预算支出安排XXX万元，其中：基本支出XXX万元，项目支出XXX万元。预算支出按功能分类包含：公共安全支出XXX万元，社会保障和就业支出XXX万元，医疗卫生与计划教育支出XXX万元，住房保障支出XXX万元。具体预算支出详见附件2。</w:t>
      </w:r>
    </w:p>
    <w:p>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年度区XXX单位</w:t>
      </w:r>
      <w:r>
        <w:rPr>
          <w:rFonts w:hint="eastAsia" w:ascii="仿宋_GB2312" w:eastAsia="仿宋_GB2312" w:cs="Times New Roman" w:hAnsiTheme="minorEastAsia"/>
          <w:sz w:val="32"/>
          <w:szCs w:val="32"/>
          <w:u w:color="000000"/>
        </w:rPr>
        <w:t>决算支出为XXX万元，其中：基本支出XXX万元，项目支出XXX万元。决算支出按功能分类包含：公共安全支出XXX万元，占比XX%；社会保障和就业支出XXX万元，占比XX%；医疗卫生与计划教育支出XX万元，占比XX%；住房保障支出XXX万元，占比XX%。具体决算支出详见附件2。</w:t>
      </w:r>
    </w:p>
    <w:p>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决算支出结构如图3。</w:t>
      </w:r>
    </w:p>
    <w:p>
      <w:pPr>
        <w:spacing w:after="0" w:line="360" w:lineRule="auto"/>
        <w:jc w:val="center"/>
        <w:rPr>
          <w:rFonts w:ascii="仿宋_GB2312" w:eastAsia="仿宋_GB2312" w:cs="Times New Roman" w:hAnsiTheme="minorEastAsia"/>
          <w:sz w:val="32"/>
          <w:szCs w:val="32"/>
          <w:u w:color="000000"/>
        </w:rPr>
      </w:pPr>
      <w:r>
        <w:rPr>
          <w:rFonts w:hint="eastAsia" w:asciiTheme="minorEastAsia" w:hAnsiTheme="minorEastAsia" w:eastAsiaTheme="minorEastAsia" w:cstheme="minorEastAsia"/>
          <w:b/>
          <w:bCs/>
          <w:sz w:val="32"/>
          <w:szCs w:val="32"/>
          <w:u w:color="000000"/>
        </w:rPr>
        <w:t xml:space="preserve">图3  </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年度区XXX单位</w:t>
      </w:r>
      <w:r>
        <w:rPr>
          <w:rFonts w:hint="eastAsia" w:asciiTheme="minorEastAsia" w:hAnsiTheme="minorEastAsia" w:eastAsiaTheme="minorEastAsia" w:cstheme="minorEastAsia"/>
          <w:b/>
          <w:bCs/>
          <w:sz w:val="32"/>
          <w:szCs w:val="32"/>
          <w:u w:color="000000"/>
        </w:rPr>
        <w:t>决算支出结构图</w:t>
      </w:r>
    </w:p>
    <w:p>
      <w:pPr>
        <w:spacing w:after="0" w:line="360" w:lineRule="auto"/>
        <w:ind w:firstLine="440" w:firstLineChars="200"/>
        <w:jc w:val="both"/>
        <w:rPr>
          <w:rFonts w:ascii="仿宋" w:hAnsi="仿宋" w:eastAsia="仿宋"/>
          <w:snapToGrid w:val="0"/>
          <w:sz w:val="32"/>
          <w:szCs w:val="32"/>
        </w:rPr>
      </w:pPr>
      <w:r>
        <w:drawing>
          <wp:anchor distT="0" distB="0" distL="90170" distR="90170" simplePos="0" relativeHeight="251661312" behindDoc="0" locked="0" layoutInCell="1" allowOverlap="1">
            <wp:simplePos x="0" y="0"/>
            <wp:positionH relativeFrom="column">
              <wp:posOffset>143510</wp:posOffset>
            </wp:positionH>
            <wp:positionV relativeFrom="paragraph">
              <wp:posOffset>109220</wp:posOffset>
            </wp:positionV>
            <wp:extent cx="4991100" cy="2790825"/>
            <wp:effectExtent l="0" t="0" r="0" b="0"/>
            <wp:wrapSquare wrapText="bothSides"/>
            <wp:docPr id="9"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_GB2312" w:eastAsia="仿宋_GB2312" w:cs="DengXian-Regular"/>
          <w:sz w:val="32"/>
          <w:szCs w:val="32"/>
        </w:rPr>
        <w:t>财政拨款决算支出比年初预算增加XXX万元。决算支出完成年初预算的XXX%。</w:t>
      </w:r>
      <w:r>
        <w:rPr>
          <w:rFonts w:hint="eastAsia" w:ascii="仿宋_GB2312" w:eastAsia="仿宋_GB2312" w:cs="Times New Roman" w:hAnsiTheme="minorEastAsia"/>
          <w:sz w:val="32"/>
          <w:szCs w:val="32"/>
          <w:u w:color="000000"/>
        </w:rPr>
        <w:t>决算支出大于（小于）预算支出的</w:t>
      </w:r>
      <w:r>
        <w:rPr>
          <w:rFonts w:hint="eastAsia" w:ascii="仿宋_GB2312" w:eastAsia="仿宋_GB2312" w:cs="DengXian-Regular"/>
          <w:sz w:val="32"/>
          <w:szCs w:val="32"/>
        </w:rPr>
        <w:t>主要原因为xxxxx</w:t>
      </w:r>
      <w:r>
        <w:rPr>
          <w:rFonts w:hint="eastAsia" w:ascii="仿宋" w:hAnsi="仿宋" w:eastAsia="仿宋"/>
          <w:snapToGrid w:val="0"/>
          <w:sz w:val="32"/>
          <w:szCs w:val="32"/>
        </w:rPr>
        <w:t>。预算支出与决算支出对比情况如图4。</w:t>
      </w:r>
    </w:p>
    <w:p>
      <w:pPr>
        <w:spacing w:after="0" w:line="360" w:lineRule="auto"/>
        <w:jc w:val="center"/>
        <w:rPr>
          <w:rFonts w:ascii="仿宋_GB2312" w:eastAsia="仿宋_GB2312" w:cs="DengXian-Regular"/>
          <w:sz w:val="32"/>
          <w:szCs w:val="32"/>
        </w:rPr>
      </w:pPr>
      <w:r>
        <w:rPr>
          <w:rFonts w:hint="eastAsia" w:asciiTheme="minorEastAsia" w:hAnsiTheme="minorEastAsia" w:eastAsiaTheme="minorEastAsia" w:cstheme="minorEastAsia"/>
          <w:b/>
          <w:bCs/>
          <w:sz w:val="32"/>
          <w:szCs w:val="32"/>
        </w:rPr>
        <w:drawing>
          <wp:anchor distT="0" distB="0" distL="114300" distR="114300" simplePos="0" relativeHeight="251662336" behindDoc="0" locked="0" layoutInCell="1" allowOverlap="1">
            <wp:simplePos x="0" y="0"/>
            <wp:positionH relativeFrom="column">
              <wp:posOffset>144145</wp:posOffset>
            </wp:positionH>
            <wp:positionV relativeFrom="paragraph">
              <wp:posOffset>499745</wp:posOffset>
            </wp:positionV>
            <wp:extent cx="5102225" cy="2717165"/>
            <wp:effectExtent l="0" t="0" r="0" b="0"/>
            <wp:wrapSquare wrapText="bothSides"/>
            <wp:docPr id="10"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Theme="minorEastAsia" w:hAnsiTheme="minorEastAsia" w:eastAsiaTheme="minorEastAsia" w:cstheme="minorEastAsia"/>
          <w:b/>
          <w:bCs/>
          <w:sz w:val="32"/>
          <w:szCs w:val="32"/>
        </w:rPr>
        <w:t xml:space="preserve">图4  </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年度区XXX单位</w:t>
      </w:r>
      <w:r>
        <w:rPr>
          <w:rFonts w:hint="eastAsia" w:asciiTheme="minorEastAsia" w:hAnsiTheme="minorEastAsia" w:eastAsiaTheme="minorEastAsia" w:cstheme="minorEastAsia"/>
          <w:b/>
          <w:bCs/>
          <w:sz w:val="32"/>
          <w:szCs w:val="32"/>
        </w:rPr>
        <w:t>预算支出与决算支出对比图</w:t>
      </w: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区XXX单位202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年实际项目支出xxx万元，决算报表中项目支出xxx万元，实际支出与决算报表差xxx万元，是由于</w:t>
      </w:r>
      <w:r>
        <w:rPr>
          <w:rFonts w:hint="default" w:ascii="仿宋_GB2312" w:eastAsia="仿宋_GB2312" w:cs="DengXian-Regular"/>
          <w:sz w:val="32"/>
          <w:szCs w:val="32"/>
          <w:lang w:val="en-US"/>
        </w:rPr>
        <w:t>XX</w:t>
      </w:r>
      <w:r>
        <w:rPr>
          <w:rFonts w:hint="eastAsia" w:ascii="仿宋_GB2312" w:eastAsia="仿宋_GB2312" w:cs="DengXian-Regular"/>
          <w:sz w:val="32"/>
          <w:szCs w:val="32"/>
          <w:lang w:val="en-US" w:eastAsia="zh-CN"/>
        </w:rPr>
        <w:t>部门</w:t>
      </w:r>
      <w:r>
        <w:rPr>
          <w:rFonts w:hint="eastAsia" w:ascii="仿宋_GB2312" w:eastAsia="仿宋_GB2312" w:cs="DengXian-Regular"/>
          <w:sz w:val="32"/>
          <w:szCs w:val="32"/>
        </w:rPr>
        <w:t>将预算安排的“项目支出”中“行政运行”科目项下的长期聘用人员项目经费（xx万元）和保安保洁项目经费（xx万元）按照决算口径“项目支出”不能有“行政运行”科目要求，故调整入决算支出中的“基本支出”科目。</w:t>
      </w:r>
    </w:p>
    <w:p>
      <w:pPr>
        <w:pStyle w:val="4"/>
        <w:spacing w:before="0" w:after="0"/>
        <w:ind w:firstLine="643" w:firstLineChars="200"/>
        <w:jc w:val="both"/>
        <w:rPr>
          <w:rFonts w:ascii="仿宋_GB2312" w:hAnsi="Tahoma" w:cs="DengXian-Regular"/>
          <w:sz w:val="32"/>
        </w:rPr>
      </w:pPr>
      <w:bookmarkStart w:id="13" w:name="_Toc19291"/>
      <w:bookmarkStart w:id="14" w:name="_Toc465149503"/>
      <w:bookmarkStart w:id="15" w:name="_Toc492652769"/>
      <w:r>
        <w:rPr>
          <w:rFonts w:hint="eastAsia" w:ascii="仿宋_GB2312" w:hAnsi="Tahoma" w:cs="DengXian-Regular"/>
          <w:sz w:val="32"/>
        </w:rPr>
        <w:t>（五）“三公”经费预算安排及支出情况</w:t>
      </w:r>
      <w:bookmarkEnd w:id="13"/>
      <w:bookmarkEnd w:id="14"/>
      <w:bookmarkEnd w:id="15"/>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年区xxx单位“三公”经费预算xxx万元（公务用车运行维护费xx万元，公务接待费xx万元），实际支出xx万元（公务用车运行维护费xx万元，公务接待费xx万元），比预算减少xx万元，节约率xx%。202</w:t>
      </w:r>
      <w:r>
        <w:rPr>
          <w:rFonts w:hint="default" w:ascii="仿宋_GB2312" w:eastAsia="仿宋_GB2312" w:cs="DengXian-Regular"/>
          <w:sz w:val="32"/>
          <w:szCs w:val="32"/>
          <w:lang w:val="en-US"/>
        </w:rPr>
        <w:t>1</w:t>
      </w:r>
      <w:r>
        <w:rPr>
          <w:rFonts w:hint="eastAsia" w:ascii="仿宋_GB2312" w:eastAsia="仿宋_GB2312" w:cs="DengXian-Regular"/>
          <w:sz w:val="32"/>
          <w:szCs w:val="32"/>
        </w:rPr>
        <w:t>年“三公”经费预算数与</w:t>
      </w:r>
      <w:r>
        <w:rPr>
          <w:rFonts w:ascii="仿宋_GB2312" w:eastAsia="仿宋_GB2312" w:cs="DengXian-Regular"/>
          <w:sz w:val="32"/>
          <w:szCs w:val="32"/>
        </w:rPr>
        <w:t>20</w:t>
      </w:r>
      <w:r>
        <w:rPr>
          <w:rFonts w:hint="default" w:ascii="仿宋_GB2312" w:eastAsia="仿宋_GB2312" w:cs="DengXian-Regular"/>
          <w:sz w:val="32"/>
          <w:szCs w:val="32"/>
          <w:lang w:val="en-US"/>
        </w:rPr>
        <w:t>20</w:t>
      </w:r>
      <w:r>
        <w:rPr>
          <w:rFonts w:hint="eastAsia" w:ascii="仿宋_GB2312" w:eastAsia="仿宋_GB2312" w:cs="DengXian-Regular"/>
          <w:sz w:val="32"/>
          <w:szCs w:val="32"/>
        </w:rPr>
        <w:t>年预算数相比无变化，决算数与</w:t>
      </w:r>
      <w:r>
        <w:rPr>
          <w:rFonts w:ascii="仿宋_GB2312" w:eastAsia="仿宋_GB2312" w:cs="DengXian-Regular"/>
          <w:sz w:val="32"/>
          <w:szCs w:val="32"/>
        </w:rPr>
        <w:t>20</w:t>
      </w:r>
      <w:r>
        <w:rPr>
          <w:rFonts w:hint="default" w:ascii="仿宋_GB2312" w:eastAsia="仿宋_GB2312" w:cs="DengXian-Regular"/>
          <w:sz w:val="32"/>
          <w:szCs w:val="32"/>
          <w:lang w:val="en-US"/>
        </w:rPr>
        <w:t>20</w:t>
      </w:r>
      <w:r>
        <w:rPr>
          <w:rFonts w:hint="eastAsia" w:ascii="仿宋_GB2312" w:eastAsia="仿宋_GB2312" w:cs="DengXian-Regular"/>
          <w:sz w:val="32"/>
          <w:szCs w:val="32"/>
        </w:rPr>
        <w:t>年实际支出相比，减少xx万元。具体详见表1。</w:t>
      </w:r>
    </w:p>
    <w:p>
      <w:pPr>
        <w:spacing w:after="0" w:line="360" w:lineRule="auto"/>
        <w:ind w:firstLine="643" w:firstLineChars="200"/>
        <w:jc w:val="both"/>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 xml:space="preserve">表1  </w:t>
      </w:r>
      <w:r>
        <w:rPr>
          <w:rFonts w:hint="eastAsia" w:ascii="仿宋_GB2312" w:eastAsia="仿宋_GB2312" w:cs="DengXian-Regular"/>
          <w:sz w:val="32"/>
          <w:szCs w:val="32"/>
        </w:rPr>
        <w:t>区xxx单位</w:t>
      </w:r>
      <w:r>
        <w:rPr>
          <w:rFonts w:hint="eastAsia" w:asciiTheme="minorEastAsia" w:hAnsiTheme="minorEastAsia" w:eastAsiaTheme="minorEastAsia" w:cstheme="minorEastAsia"/>
          <w:b/>
          <w:bCs/>
          <w:sz w:val="32"/>
          <w:szCs w:val="32"/>
        </w:rPr>
        <w:t>“三公”经费预算及决算明细表</w:t>
      </w:r>
    </w:p>
    <w:p>
      <w:pPr>
        <w:spacing w:after="0" w:line="540" w:lineRule="exact"/>
        <w:ind w:firstLine="640" w:firstLineChars="200"/>
        <w:jc w:val="both"/>
        <w:rPr>
          <w:rFonts w:asciiTheme="minorEastAsia" w:hAnsiTheme="minorEastAsia" w:eastAsiaTheme="minorEastAsia" w:cstheme="minorEastAsia"/>
          <w:sz w:val="21"/>
          <w:szCs w:val="21"/>
        </w:rPr>
      </w:pPr>
      <w:r>
        <w:rPr>
          <w:rFonts w:hint="eastAsia" w:ascii="仿宋_GB2312" w:eastAsia="仿宋_GB2312" w:cs="DengXian-Regular"/>
          <w:sz w:val="32"/>
          <w:szCs w:val="32"/>
        </w:rPr>
        <w:t xml:space="preserve">                                         </w:t>
      </w:r>
      <w:r>
        <w:rPr>
          <w:rFonts w:hint="eastAsia" w:asciiTheme="minorEastAsia" w:hAnsiTheme="minorEastAsia" w:eastAsiaTheme="minorEastAsia" w:cstheme="minorEastAsia"/>
          <w:sz w:val="21"/>
          <w:szCs w:val="21"/>
        </w:rPr>
        <w:t>单位：万元</w:t>
      </w:r>
    </w:p>
    <w:tbl>
      <w:tblPr>
        <w:tblStyle w:val="23"/>
        <w:tblW w:w="8565" w:type="dxa"/>
        <w:tblInd w:w="0" w:type="dxa"/>
        <w:tblLayout w:type="fixed"/>
        <w:tblCellMar>
          <w:top w:w="0" w:type="dxa"/>
          <w:left w:w="0" w:type="dxa"/>
          <w:bottom w:w="0" w:type="dxa"/>
          <w:right w:w="0" w:type="dxa"/>
        </w:tblCellMar>
      </w:tblPr>
      <w:tblGrid>
        <w:gridCol w:w="549"/>
        <w:gridCol w:w="1818"/>
        <w:gridCol w:w="993"/>
        <w:gridCol w:w="932"/>
        <w:gridCol w:w="1022"/>
        <w:gridCol w:w="947"/>
        <w:gridCol w:w="1149"/>
        <w:gridCol w:w="1155"/>
      </w:tblGrid>
      <w:tr>
        <w:tblPrEx>
          <w:tblCellMar>
            <w:top w:w="0" w:type="dxa"/>
            <w:left w:w="0" w:type="dxa"/>
            <w:bottom w:w="0" w:type="dxa"/>
            <w:right w:w="0" w:type="dxa"/>
          </w:tblCellMar>
        </w:tblPrEx>
        <w:trPr>
          <w:trHeight w:val="454" w:hRule="atLeast"/>
        </w:trPr>
        <w:tc>
          <w:tcPr>
            <w:tcW w:w="549"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序号</w:t>
            </w:r>
          </w:p>
        </w:tc>
        <w:tc>
          <w:tcPr>
            <w:tcW w:w="181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支出内容</w:t>
            </w:r>
          </w:p>
        </w:tc>
        <w:tc>
          <w:tcPr>
            <w:tcW w:w="192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ind w:firstLine="422" w:firstLineChars="200"/>
              <w:jc w:val="center"/>
              <w:textAlignment w:val="center"/>
              <w:rPr>
                <w:rFonts w:ascii="宋体" w:hAnsi="宋体" w:eastAsia="宋体" w:cs="宋体"/>
                <w:b/>
                <w:bCs/>
                <w:color w:val="000000"/>
                <w:sz w:val="21"/>
                <w:szCs w:val="21"/>
              </w:rPr>
            </w:pPr>
            <w:r>
              <w:rPr>
                <w:rFonts w:hint="default" w:ascii="宋体" w:hAnsi="宋体" w:eastAsia="宋体" w:cs="宋体"/>
                <w:b/>
                <w:bCs/>
                <w:color w:val="000000"/>
                <w:sz w:val="21"/>
                <w:szCs w:val="21"/>
                <w:lang w:val="en-US"/>
              </w:rPr>
              <w:t>2020</w:t>
            </w:r>
            <w:r>
              <w:rPr>
                <w:rFonts w:hint="eastAsia" w:ascii="宋体" w:hAnsi="宋体" w:eastAsia="宋体" w:cs="宋体"/>
                <w:b/>
                <w:bCs/>
                <w:color w:val="000000"/>
                <w:sz w:val="21"/>
                <w:szCs w:val="21"/>
              </w:rPr>
              <w:t>年</w:t>
            </w:r>
          </w:p>
        </w:tc>
        <w:tc>
          <w:tcPr>
            <w:tcW w:w="1969" w:type="dxa"/>
            <w:gridSpan w:val="2"/>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pPr>
              <w:spacing w:after="0"/>
              <w:ind w:firstLine="422" w:firstLineChars="20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202</w:t>
            </w:r>
            <w:r>
              <w:rPr>
                <w:rFonts w:hint="default" w:ascii="宋体" w:hAnsi="宋体" w:eastAsia="宋体" w:cs="宋体"/>
                <w:b/>
                <w:bCs/>
                <w:color w:val="000000"/>
                <w:sz w:val="21"/>
                <w:szCs w:val="21"/>
                <w:lang w:val="en-US"/>
              </w:rPr>
              <w:t>1</w:t>
            </w:r>
            <w:r>
              <w:rPr>
                <w:rFonts w:hint="eastAsia" w:ascii="宋体" w:hAnsi="宋体" w:eastAsia="宋体" w:cs="宋体"/>
                <w:b/>
                <w:bCs/>
                <w:color w:val="000000"/>
                <w:sz w:val="21"/>
                <w:szCs w:val="21"/>
              </w:rPr>
              <w:t>年</w:t>
            </w:r>
          </w:p>
        </w:tc>
        <w:tc>
          <w:tcPr>
            <w:tcW w:w="2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ind w:firstLine="422" w:firstLineChars="20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环比情况</w:t>
            </w:r>
          </w:p>
        </w:tc>
      </w:tr>
      <w:tr>
        <w:tblPrEx>
          <w:tblCellMar>
            <w:top w:w="0" w:type="dxa"/>
            <w:left w:w="0" w:type="dxa"/>
            <w:bottom w:w="0" w:type="dxa"/>
            <w:right w:w="0" w:type="dxa"/>
          </w:tblCellMar>
        </w:tblPrEx>
        <w:trPr>
          <w:trHeight w:val="454" w:hRule="atLeast"/>
        </w:trPr>
        <w:tc>
          <w:tcPr>
            <w:tcW w:w="549"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after="0"/>
              <w:ind w:firstLine="422" w:firstLineChars="200"/>
              <w:jc w:val="center"/>
              <w:rPr>
                <w:rFonts w:ascii="宋体" w:hAnsi="宋体" w:eastAsia="宋体" w:cs="宋体"/>
                <w:b/>
                <w:bCs/>
                <w:color w:val="000000"/>
                <w:sz w:val="21"/>
                <w:szCs w:val="21"/>
              </w:rPr>
            </w:pPr>
          </w:p>
        </w:tc>
        <w:tc>
          <w:tcPr>
            <w:tcW w:w="181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ind w:firstLine="422" w:firstLineChars="200"/>
              <w:jc w:val="center"/>
              <w:rPr>
                <w:rFonts w:ascii="宋体" w:hAnsi="宋体" w:eastAsia="宋体" w:cs="宋体"/>
                <w:b/>
                <w:bCs/>
                <w:color w:val="000000"/>
                <w:sz w:val="21"/>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预算安排</w:t>
            </w:r>
          </w:p>
        </w:tc>
        <w:tc>
          <w:tcPr>
            <w:tcW w:w="932"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实际支出</w:t>
            </w:r>
          </w:p>
        </w:tc>
        <w:tc>
          <w:tcPr>
            <w:tcW w:w="102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预算安排</w:t>
            </w:r>
          </w:p>
        </w:tc>
        <w:tc>
          <w:tcPr>
            <w:tcW w:w="9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实际支出</w:t>
            </w:r>
          </w:p>
        </w:tc>
        <w:tc>
          <w:tcPr>
            <w:tcW w:w="114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较上年预算增减金额</w:t>
            </w:r>
          </w:p>
        </w:tc>
        <w:tc>
          <w:tcPr>
            <w:tcW w:w="115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较上年支出增减金额</w:t>
            </w:r>
          </w:p>
        </w:tc>
      </w:tr>
      <w:tr>
        <w:tblPrEx>
          <w:tblCellMar>
            <w:top w:w="0" w:type="dxa"/>
            <w:left w:w="0" w:type="dxa"/>
            <w:bottom w:w="0" w:type="dxa"/>
            <w:right w:w="0" w:type="dxa"/>
          </w:tblCellMar>
        </w:tblPrEx>
        <w:trPr>
          <w:trHeight w:val="454" w:hRule="atLeast"/>
        </w:trPr>
        <w:tc>
          <w:tcPr>
            <w:tcW w:w="549"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c>
          <w:tcPr>
            <w:tcW w:w="1818" w:type="dxa"/>
            <w:tcBorders>
              <w:top w:val="single" w:color="auto"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因公出国（境）费</w:t>
            </w:r>
          </w:p>
        </w:tc>
        <w:tc>
          <w:tcPr>
            <w:tcW w:w="993"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p>
        </w:tc>
      </w:tr>
      <w:tr>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p>
        </w:tc>
        <w:tc>
          <w:tcPr>
            <w:tcW w:w="18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公务用车购置及运维费</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p>
        </w:tc>
      </w:tr>
      <w:tr>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p>
        </w:tc>
        <w:tc>
          <w:tcPr>
            <w:tcW w:w="1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公务接待费</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p>
        </w:tc>
      </w:tr>
      <w:tr>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w:t>
            </w:r>
          </w:p>
        </w:tc>
        <w:tc>
          <w:tcPr>
            <w:tcW w:w="18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合计</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p>
        </w:tc>
      </w:tr>
    </w:tbl>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1、公务用车：202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年底区xxx单位车辆合计xx辆，其中xx用车xx辆，其他用车xx辆。202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年公务用车购置及运维费年初预算xx万元，全部为公务用车运行维护费，实际支出xxx万元，比预算减少xx万元，节约率xx%。202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年预算数与</w:t>
      </w:r>
      <w:r>
        <w:rPr>
          <w:rFonts w:ascii="仿宋_GB2312" w:eastAsia="仿宋_GB2312" w:cs="DengXian-Regular"/>
          <w:sz w:val="32"/>
          <w:szCs w:val="32"/>
        </w:rPr>
        <w:t>20</w:t>
      </w:r>
      <w:r>
        <w:rPr>
          <w:rFonts w:hint="default" w:ascii="仿宋_GB2312" w:eastAsia="仿宋_GB2312" w:cs="DengXian-Regular"/>
          <w:sz w:val="32"/>
          <w:szCs w:val="32"/>
          <w:lang w:val="en-US"/>
        </w:rPr>
        <w:t>20</w:t>
      </w:r>
      <w:r>
        <w:rPr>
          <w:rFonts w:hint="eastAsia" w:ascii="仿宋_GB2312" w:eastAsia="仿宋_GB2312" w:cs="DengXian-Regular"/>
          <w:sz w:val="32"/>
          <w:szCs w:val="32"/>
        </w:rPr>
        <w:t>年预算相比无变化，决算数与</w:t>
      </w:r>
      <w:r>
        <w:rPr>
          <w:rFonts w:ascii="仿宋_GB2312" w:eastAsia="仿宋_GB2312" w:cs="DengXian-Regular"/>
          <w:sz w:val="32"/>
          <w:szCs w:val="32"/>
        </w:rPr>
        <w:t>20</w:t>
      </w:r>
      <w:r>
        <w:rPr>
          <w:rFonts w:hint="default" w:ascii="仿宋_GB2312" w:eastAsia="仿宋_GB2312" w:cs="DengXian-Regular"/>
          <w:sz w:val="32"/>
          <w:szCs w:val="32"/>
          <w:lang w:val="en-US"/>
        </w:rPr>
        <w:t>20</w:t>
      </w:r>
      <w:r>
        <w:rPr>
          <w:rFonts w:hint="eastAsia" w:ascii="仿宋_GB2312" w:eastAsia="仿宋_GB2312" w:cs="DengXian-Regular"/>
          <w:sz w:val="32"/>
          <w:szCs w:val="32"/>
        </w:rPr>
        <w:t>年实际支出相比，减少xx万元。</w:t>
      </w: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2、公务接待：202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年区xxx单位公务接待费年初预算xx万元，实际支出xx万元，比预算减少了xx万元，节约率xx%。202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年预算数与</w:t>
      </w:r>
      <w:r>
        <w:rPr>
          <w:rFonts w:ascii="仿宋_GB2312" w:eastAsia="仿宋_GB2312" w:cs="DengXian-Regular"/>
          <w:sz w:val="32"/>
          <w:szCs w:val="32"/>
        </w:rPr>
        <w:t>20</w:t>
      </w:r>
      <w:r>
        <w:rPr>
          <w:rFonts w:hint="default" w:ascii="仿宋_GB2312" w:eastAsia="仿宋_GB2312" w:cs="DengXian-Regular"/>
          <w:sz w:val="32"/>
          <w:szCs w:val="32"/>
          <w:lang w:val="en-US"/>
        </w:rPr>
        <w:t>20</w:t>
      </w:r>
      <w:r>
        <w:rPr>
          <w:rFonts w:hint="eastAsia" w:ascii="仿宋_GB2312" w:eastAsia="仿宋_GB2312" w:cs="DengXian-Regular"/>
          <w:sz w:val="32"/>
          <w:szCs w:val="32"/>
        </w:rPr>
        <w:t>年预算相比无变化，决算数与</w:t>
      </w:r>
      <w:r>
        <w:rPr>
          <w:rFonts w:ascii="仿宋_GB2312" w:eastAsia="仿宋_GB2312" w:cs="DengXian-Regular"/>
          <w:sz w:val="32"/>
          <w:szCs w:val="32"/>
        </w:rPr>
        <w:t>20</w:t>
      </w:r>
      <w:r>
        <w:rPr>
          <w:rFonts w:hint="default" w:ascii="仿宋_GB2312" w:eastAsia="仿宋_GB2312" w:cs="DengXian-Regular"/>
          <w:sz w:val="32"/>
          <w:szCs w:val="32"/>
          <w:lang w:val="en-US"/>
        </w:rPr>
        <w:t>20</w:t>
      </w:r>
      <w:r>
        <w:rPr>
          <w:rFonts w:hint="eastAsia" w:ascii="仿宋_GB2312" w:eastAsia="仿宋_GB2312" w:cs="DengXian-Regular"/>
          <w:sz w:val="32"/>
          <w:szCs w:val="32"/>
        </w:rPr>
        <w:t>年实际支出相比，增加xx万元。</w:t>
      </w:r>
    </w:p>
    <w:p>
      <w:pPr>
        <w:pStyle w:val="3"/>
        <w:spacing w:before="0" w:after="0" w:line="360" w:lineRule="auto"/>
        <w:ind w:firstLine="643" w:firstLineChars="200"/>
        <w:rPr>
          <w:rFonts w:ascii="黑体" w:hAnsiTheme="minorEastAsia"/>
          <w:u w:color="000000"/>
        </w:rPr>
      </w:pPr>
      <w:bookmarkStart w:id="16" w:name="_Toc20454"/>
      <w:bookmarkStart w:id="17" w:name="_Toc492652770"/>
      <w:bookmarkStart w:id="18" w:name="_Toc465149504"/>
      <w:r>
        <w:rPr>
          <w:rFonts w:hint="eastAsia" w:ascii="黑体"/>
        </w:rPr>
        <w:t>二、部门整体支出绩效评价指标体系设定情况</w:t>
      </w:r>
      <w:bookmarkEnd w:id="16"/>
      <w:bookmarkEnd w:id="17"/>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根据绩效预算管理改革的有关政策和文件规定，并与区xxx单位沟通，绩效评价工作组以绩效预算架构为指导，以部门预算文本及相关资料为基础，制定了部门整体支出绩效评价指标体系。</w:t>
      </w: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部门整体支出绩效评价指标体系设置一级指标4个，二级指标7个，三级指标27个（详见附件3）。指标体系设定满分100分，绩效评价分值≥90为“优”；80≤分值＜90为“良”；60≤分值＜80为“中”；60分以下为“差”。评价指标体系具体构成如下：</w:t>
      </w:r>
      <w:bookmarkStart w:id="19" w:name="_Toc492652771"/>
      <w:bookmarkStart w:id="20" w:name="_Toc9569"/>
    </w:p>
    <w:p>
      <w:pPr>
        <w:spacing w:after="0" w:line="360" w:lineRule="auto"/>
        <w:ind w:firstLine="643" w:firstLineChars="200"/>
        <w:jc w:val="both"/>
        <w:rPr>
          <w:rFonts w:ascii="楷体_GB2312" w:eastAsia="楷体_GB2312" w:cs="Times New Roman" w:hAnsiTheme="minorEastAsia"/>
          <w:b/>
          <w:bCs/>
          <w:kern w:val="2"/>
          <w:sz w:val="32"/>
          <w:szCs w:val="32"/>
          <w:u w:color="000000"/>
        </w:rPr>
      </w:pPr>
      <w:r>
        <w:rPr>
          <w:rFonts w:hint="eastAsia" w:ascii="楷体_GB2312" w:eastAsia="楷体_GB2312" w:cs="Times New Roman" w:hAnsiTheme="minorEastAsia"/>
          <w:b/>
          <w:bCs/>
          <w:kern w:val="2"/>
          <w:sz w:val="32"/>
          <w:szCs w:val="32"/>
          <w:u w:color="000000"/>
        </w:rPr>
        <w:t>（一）投入（12分）</w:t>
      </w:r>
      <w:bookmarkEnd w:id="19"/>
      <w:bookmarkEnd w:id="20"/>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主要反映绩效目标设定是否合理、科学，绩效指标的制定是否清晰、可衡量，预算编制是否完整，项目预算是否细化及在职人员控制情况。</w:t>
      </w:r>
    </w:p>
    <w:p>
      <w:pPr>
        <w:keepNext/>
        <w:widowControl w:val="0"/>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投入指标指标分值为12分，下设2个二级指标：绩效目标设定和预算配置，6个三级指标：绩效目标合理性、绩效目标科学性、绩效指标明确性、预算编制完整性、项目预算细化率、在职人员控制率。</w:t>
      </w:r>
    </w:p>
    <w:p>
      <w:pPr>
        <w:pStyle w:val="4"/>
        <w:spacing w:before="0" w:after="0"/>
        <w:ind w:firstLine="643" w:firstLineChars="200"/>
        <w:jc w:val="both"/>
        <w:rPr>
          <w:rFonts w:ascii="楷体" w:hAnsi="楷体" w:eastAsia="楷体"/>
          <w:sz w:val="32"/>
        </w:rPr>
      </w:pPr>
      <w:bookmarkStart w:id="21" w:name="_Toc492652772"/>
      <w:bookmarkStart w:id="22" w:name="_Toc30221"/>
      <w:r>
        <w:rPr>
          <w:rFonts w:hint="eastAsia" w:ascii="楷体" w:hAnsi="楷体" w:eastAsia="楷体"/>
          <w:kern w:val="2"/>
          <w:sz w:val="32"/>
        </w:rPr>
        <w:t>（二）过程（48分）</w:t>
      </w:r>
      <w:bookmarkEnd w:id="21"/>
      <w:bookmarkEnd w:id="22"/>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主要反映预算调整、收入及支出完成情况，“三公”经费、政府采购执行情况，财务管理是否规范、资金使用是否合规，决算真实性。</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过程指标指标分值为48分，下设3个二级指标：预算执行、预算管理和绩效评价，14个三级指标：预算收入调整率、收入完成率、预算支出调整率、财政拨款支出完成率、“三公”经费控制率、政府采购执行率、资金使用合规性、决算真实性、管理制度健全性、预决算信息公开性、基础信息完整性、资产管理规范性、绩效自评覆盖率、绩效评价优等率。</w:t>
      </w:r>
    </w:p>
    <w:p>
      <w:pPr>
        <w:pStyle w:val="4"/>
        <w:spacing w:before="0" w:after="0"/>
        <w:ind w:firstLine="643" w:firstLineChars="200"/>
        <w:jc w:val="both"/>
        <w:rPr>
          <w:rFonts w:ascii="楷体" w:hAnsi="楷体" w:eastAsia="楷体"/>
          <w:kern w:val="2"/>
          <w:sz w:val="32"/>
        </w:rPr>
      </w:pPr>
      <w:bookmarkStart w:id="23" w:name="_Toc24932"/>
      <w:bookmarkStart w:id="24" w:name="_Toc492652773"/>
      <w:r>
        <w:rPr>
          <w:rFonts w:hint="eastAsia" w:ascii="楷体" w:hAnsi="楷体" w:eastAsia="楷体"/>
          <w:kern w:val="2"/>
          <w:sz w:val="32"/>
        </w:rPr>
        <w:t>（三）产出（25分）</w:t>
      </w:r>
      <w:bookmarkEnd w:id="23"/>
      <w:bookmarkEnd w:id="24"/>
    </w:p>
    <w:p>
      <w:pPr>
        <w:spacing w:after="0" w:line="360" w:lineRule="auto"/>
        <w:ind w:firstLine="640" w:firstLineChars="200"/>
        <w:jc w:val="both"/>
        <w:textAlignment w:val="baseline"/>
        <w:rPr>
          <w:rFonts w:ascii="仿宋_GB2312" w:eastAsia="仿宋_GB2312" w:cs="DengXian-Regular"/>
          <w:sz w:val="32"/>
          <w:szCs w:val="32"/>
        </w:rPr>
      </w:pPr>
      <w:bookmarkStart w:id="25" w:name="_Toc492652774"/>
      <w:r>
        <w:rPr>
          <w:rFonts w:hint="eastAsia" w:ascii="仿宋_GB2312" w:eastAsia="仿宋_GB2312" w:cs="DengXian-Regular"/>
          <w:sz w:val="32"/>
          <w:szCs w:val="32"/>
        </w:rPr>
        <w:t>主要反映结转结余率，项目资金使用率，。</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产出指标指标分值为25分，下设1个二级指标：责任履行，5个三级指标：结转结余率、项目资金使用率。</w:t>
      </w:r>
    </w:p>
    <w:p>
      <w:pPr>
        <w:pStyle w:val="4"/>
        <w:spacing w:before="0" w:after="0"/>
        <w:ind w:firstLine="643" w:firstLineChars="200"/>
        <w:jc w:val="both"/>
        <w:rPr>
          <w:rFonts w:ascii="楷体_GB2312" w:eastAsia="楷体_GB2312" w:hAnsiTheme="minorEastAsia"/>
          <w:sz w:val="32"/>
        </w:rPr>
      </w:pPr>
      <w:bookmarkStart w:id="26" w:name="_Toc21821"/>
      <w:r>
        <w:rPr>
          <w:rFonts w:hint="eastAsia" w:ascii="楷体_GB2312" w:eastAsia="楷体_GB2312" w:hAnsiTheme="minorEastAsia"/>
          <w:kern w:val="2"/>
          <w:sz w:val="32"/>
        </w:rPr>
        <w:t>（四）效果（15分）</w:t>
      </w:r>
      <w:bookmarkEnd w:id="25"/>
      <w:bookmarkEnd w:id="26"/>
    </w:p>
    <w:p>
      <w:pPr>
        <w:spacing w:after="0" w:line="360" w:lineRule="auto"/>
        <w:ind w:firstLine="640" w:firstLineChars="200"/>
        <w:jc w:val="both"/>
        <w:textAlignment w:val="baseline"/>
        <w:rPr>
          <w:rFonts w:ascii="仿宋_GB2312" w:eastAsia="仿宋_GB2312" w:cs="DengXian-Regular"/>
          <w:sz w:val="32"/>
          <w:szCs w:val="32"/>
        </w:rPr>
      </w:pPr>
      <w:bookmarkStart w:id="27" w:name="_Toc492652775"/>
      <w:r>
        <w:rPr>
          <w:rFonts w:hint="eastAsia" w:ascii="仿宋_GB2312" w:eastAsia="仿宋_GB2312" w:cs="DengXian-Regular"/>
          <w:sz w:val="32"/>
          <w:szCs w:val="32"/>
        </w:rPr>
        <w:t>主要反映部门履行职责对社会发展所带来的直接或间接效益及社会公众或部门的服务对象对部门履职效果的满意程度。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效果指标指标分值15分，下设1个二级指标：履职效率，2个三级指标：部门整体效益和考核满意度。</w:t>
      </w:r>
    </w:p>
    <w:p>
      <w:pPr>
        <w:pStyle w:val="3"/>
        <w:spacing w:before="0" w:after="0" w:line="360" w:lineRule="auto"/>
        <w:ind w:firstLine="643" w:firstLineChars="200"/>
        <w:rPr>
          <w:rFonts w:ascii="黑体"/>
        </w:rPr>
      </w:pPr>
      <w:bookmarkStart w:id="28" w:name="_Toc11842"/>
      <w:r>
        <w:rPr>
          <w:rFonts w:hint="eastAsia" w:ascii="黑体"/>
        </w:rPr>
        <w:t>三、综合绩效评价工作情况</w:t>
      </w:r>
      <w:bookmarkEnd w:id="18"/>
      <w:bookmarkEnd w:id="27"/>
      <w:bookmarkEnd w:id="28"/>
      <w:bookmarkStart w:id="29" w:name="_Toc465149505"/>
      <w:bookmarkStart w:id="30" w:name="_Toc492652776"/>
    </w:p>
    <w:p>
      <w:pPr>
        <w:pStyle w:val="4"/>
        <w:spacing w:before="0" w:after="0"/>
        <w:ind w:firstLine="643" w:firstLineChars="200"/>
        <w:jc w:val="both"/>
        <w:rPr>
          <w:rFonts w:ascii="楷体_GB2312" w:eastAsia="楷体_GB2312" w:hAnsiTheme="minorEastAsia"/>
          <w:sz w:val="32"/>
        </w:rPr>
      </w:pPr>
      <w:bookmarkStart w:id="31" w:name="_Toc17138"/>
      <w:r>
        <w:rPr>
          <w:rFonts w:hint="eastAsia" w:ascii="楷体_GB2312" w:eastAsia="楷体_GB2312" w:hAnsiTheme="minorEastAsia"/>
          <w:kern w:val="2"/>
          <w:sz w:val="32"/>
        </w:rPr>
        <w:t>（一）绩效评价目的</w:t>
      </w:r>
      <w:bookmarkEnd w:id="29"/>
      <w:bookmarkEnd w:id="30"/>
      <w:bookmarkEnd w:id="31"/>
    </w:p>
    <w:p>
      <w:pPr>
        <w:spacing w:after="0" w:line="360" w:lineRule="auto"/>
        <w:ind w:firstLine="640" w:firstLineChars="200"/>
        <w:jc w:val="both"/>
        <w:textAlignment w:val="baseline"/>
        <w:rPr>
          <w:rFonts w:ascii="仿宋_GB2312" w:eastAsia="仿宋_GB2312" w:cs="DengXian-Regular"/>
          <w:sz w:val="32"/>
          <w:szCs w:val="32"/>
        </w:rPr>
      </w:pPr>
      <w:bookmarkStart w:id="32" w:name="_Toc465149506"/>
      <w:bookmarkStart w:id="33" w:name="_Toc492652777"/>
      <w:r>
        <w:rPr>
          <w:rFonts w:hint="eastAsia" w:ascii="仿宋_GB2312" w:eastAsia="仿宋_GB2312" w:cs="DengXian-Regular"/>
          <w:sz w:val="32"/>
          <w:szCs w:val="32"/>
        </w:rPr>
        <w:t>通过对区xxx单位202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年部门整体支出绩效评价，了解部门整体资金预算情况、实际收支情况及结转结余情况；绩效目标和指标的设置及完成情况；部门履职对社会发展所带来的直接或间接影响及服务对象对部门履职效果的满意程度。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部门整体支出绩效评价工作促使相关部门根据绩效评价过程中发现的问题，及时整改并总结经验，提高部门管理水平，牢固树立预算绩效理念，强化部门支出责任，提高预算执行效率和财政资金使用效益。</w:t>
      </w:r>
    </w:p>
    <w:p>
      <w:pPr>
        <w:pStyle w:val="4"/>
        <w:spacing w:before="0" w:after="0"/>
        <w:ind w:firstLine="643" w:firstLineChars="200"/>
        <w:jc w:val="both"/>
        <w:rPr>
          <w:rFonts w:ascii="楷体_GB2312" w:eastAsia="楷体_GB2312" w:hAnsiTheme="minorEastAsia"/>
          <w:kern w:val="2"/>
          <w:sz w:val="32"/>
        </w:rPr>
      </w:pPr>
      <w:bookmarkStart w:id="34" w:name="_Toc11607"/>
      <w:r>
        <w:rPr>
          <w:rFonts w:hint="eastAsia" w:ascii="楷体_GB2312" w:eastAsia="楷体_GB2312" w:hAnsiTheme="minorEastAsia"/>
          <w:kern w:val="2"/>
          <w:sz w:val="32"/>
        </w:rPr>
        <w:t>（二）绩效评价依据</w:t>
      </w:r>
      <w:bookmarkEnd w:id="32"/>
      <w:bookmarkEnd w:id="33"/>
      <w:bookmarkEnd w:id="34"/>
    </w:p>
    <w:p>
      <w:pPr>
        <w:spacing w:after="0" w:line="360" w:lineRule="auto"/>
        <w:ind w:firstLine="640" w:firstLineChars="200"/>
        <w:jc w:val="both"/>
        <w:textAlignment w:val="baseline"/>
        <w:rPr>
          <w:rFonts w:ascii="仿宋_GB2312" w:eastAsia="仿宋_GB2312" w:cs="DengXian-Regular"/>
          <w:sz w:val="32"/>
          <w:szCs w:val="32"/>
        </w:rPr>
      </w:pPr>
      <w:bookmarkStart w:id="35" w:name="_Toc465149507"/>
      <w:r>
        <w:rPr>
          <w:rFonts w:hint="eastAsia" w:ascii="仿宋_GB2312" w:eastAsia="仿宋_GB2312" w:cs="DengXian-Regular"/>
          <w:sz w:val="32"/>
          <w:szCs w:val="32"/>
        </w:rPr>
        <w:t>1.</w:t>
      </w:r>
      <w:r>
        <w:rPr>
          <w:rFonts w:ascii="仿宋_GB2312" w:eastAsia="仿宋_GB2312" w:cs="DengXian-Regular"/>
          <w:sz w:val="32"/>
          <w:szCs w:val="32"/>
        </w:rPr>
        <w:t>《中华人民共和国预算法》；</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2.中共中央国务院《关于全面实施预算绩效管理的意见》（中发〔2018〕34号）；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w:t>
      </w:r>
      <w:r>
        <w:rPr>
          <w:rFonts w:ascii="仿宋_GB2312" w:eastAsia="仿宋_GB2312" w:cs="DengXian-Regular"/>
          <w:sz w:val="32"/>
          <w:szCs w:val="32"/>
        </w:rPr>
        <w:t>《河北省财政支出绩效评价管理办法》（冀财预</w:t>
      </w:r>
      <w:r>
        <w:rPr>
          <w:rFonts w:hint="eastAsia" w:ascii="仿宋_GB2312" w:eastAsia="仿宋_GB2312" w:cs="DengXian-Regular"/>
          <w:sz w:val="32"/>
          <w:szCs w:val="32"/>
        </w:rPr>
        <w:t xml:space="preserve">〔2011〕68号）； </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4.中共河北省委河北省人民政府</w:t>
      </w:r>
      <w:r>
        <w:rPr>
          <w:rFonts w:ascii="仿宋_GB2312" w:eastAsia="仿宋_GB2312" w:cs="DengXian-Regular"/>
          <w:sz w:val="32"/>
          <w:szCs w:val="32"/>
        </w:rPr>
        <w:t>《</w:t>
      </w:r>
      <w:r>
        <w:rPr>
          <w:rFonts w:hint="eastAsia" w:ascii="仿宋_GB2312" w:eastAsia="仿宋_GB2312" w:cs="DengXian-Regular"/>
          <w:sz w:val="32"/>
          <w:szCs w:val="32"/>
        </w:rPr>
        <w:t>关于全面实施预算绩效管理的实施意见</w:t>
      </w:r>
      <w:r>
        <w:rPr>
          <w:rFonts w:ascii="仿宋_GB2312" w:eastAsia="仿宋_GB2312" w:cs="DengXian-Regular"/>
          <w:sz w:val="32"/>
          <w:szCs w:val="32"/>
        </w:rPr>
        <w:t>》（冀</w:t>
      </w:r>
      <w:r>
        <w:rPr>
          <w:rFonts w:hint="eastAsia" w:ascii="仿宋_GB2312" w:eastAsia="仿宋_GB2312" w:cs="DengXian-Regular"/>
          <w:sz w:val="32"/>
          <w:szCs w:val="32"/>
        </w:rPr>
        <w:t>发〔2018〕54</w:t>
      </w:r>
      <w:r>
        <w:rPr>
          <w:rFonts w:ascii="仿宋_GB2312" w:eastAsia="仿宋_GB2312" w:cs="DengXian-Regular"/>
          <w:sz w:val="32"/>
          <w:szCs w:val="32"/>
        </w:rPr>
        <w:t>号）</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5.保定市徐水区财政局《关于印发绩效评价工作规划（2016-2020年）的通知》（徐政财字〔2016〕45号）；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6.保定市徐水区财政局《关于印发&lt;全面实施预算绩效管理推进工作方案&gt;的通知》（徐政财字〔2019〕33号）；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7</w:t>
      </w:r>
      <w:r>
        <w:rPr>
          <w:rFonts w:ascii="仿宋_GB2312" w:eastAsia="仿宋_GB2312" w:cs="DengXian-Regular"/>
          <w:sz w:val="32"/>
          <w:szCs w:val="32"/>
        </w:rPr>
        <w:t>.</w:t>
      </w:r>
      <w:r>
        <w:rPr>
          <w:rFonts w:hint="eastAsia"/>
        </w:rPr>
        <w:t xml:space="preserve"> </w:t>
      </w:r>
      <w:r>
        <w:rPr>
          <w:rFonts w:hint="eastAsia" w:ascii="仿宋_GB2312" w:eastAsia="仿宋_GB2312" w:cs="DengXian-Regular"/>
          <w:sz w:val="32"/>
          <w:szCs w:val="32"/>
        </w:rPr>
        <w:t>保定市徐水区财政局《关于印发保定市徐水区区级部门预算项目绩效自评管理办法的通知》（徐政财字〔2020〕9号）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8.其他与部门绩效评价工作相关的文件。</w:t>
      </w:r>
      <w:bookmarkStart w:id="36" w:name="_Toc492652778"/>
    </w:p>
    <w:p>
      <w:pPr>
        <w:pStyle w:val="4"/>
        <w:spacing w:before="0" w:after="0"/>
        <w:ind w:firstLine="643" w:firstLineChars="200"/>
        <w:jc w:val="both"/>
        <w:rPr>
          <w:rFonts w:ascii="楷体_GB2312" w:eastAsia="楷体_GB2312" w:hAnsiTheme="minorEastAsia"/>
          <w:kern w:val="2"/>
          <w:sz w:val="32"/>
        </w:rPr>
      </w:pPr>
      <w:bookmarkStart w:id="37" w:name="_Toc7609"/>
      <w:r>
        <w:rPr>
          <w:rFonts w:hint="eastAsia" w:ascii="楷体_GB2312" w:eastAsia="楷体_GB2312" w:hAnsiTheme="minorEastAsia"/>
          <w:kern w:val="2"/>
          <w:sz w:val="32"/>
        </w:rPr>
        <w:t>（三）绩效评价</w:t>
      </w:r>
      <w:bookmarkEnd w:id="36"/>
      <w:r>
        <w:rPr>
          <w:rFonts w:hint="eastAsia" w:ascii="楷体_GB2312" w:eastAsia="楷体_GB2312" w:hAnsiTheme="minorEastAsia"/>
          <w:kern w:val="2"/>
          <w:sz w:val="32"/>
        </w:rPr>
        <w:t>内容</w:t>
      </w:r>
      <w:bookmarkEnd w:id="37"/>
    </w:p>
    <w:bookmarkEnd w:id="35"/>
    <w:p>
      <w:pPr>
        <w:spacing w:after="0" w:line="360" w:lineRule="auto"/>
        <w:ind w:firstLine="640" w:firstLineChars="200"/>
        <w:jc w:val="both"/>
        <w:textAlignment w:val="baseline"/>
        <w:rPr>
          <w:rFonts w:ascii="仿宋_GB2312" w:eastAsia="仿宋_GB2312" w:cs="DengXian-Regular"/>
          <w:sz w:val="32"/>
          <w:szCs w:val="32"/>
        </w:rPr>
      </w:pPr>
      <w:bookmarkStart w:id="38" w:name="_Toc465149508"/>
      <w:bookmarkStart w:id="39" w:name="_Toc492652779"/>
      <w:r>
        <w:rPr>
          <w:rFonts w:hint="eastAsia" w:ascii="仿宋_GB2312" w:eastAsia="仿宋_GB2312" w:cs="DengXian-Regular"/>
          <w:sz w:val="32"/>
          <w:szCs w:val="32"/>
        </w:rPr>
        <w:t>区xxx单位202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年部门整体支出绩效目标和指标的设置及完成情况；资金预算情况、实际收支情况及结转结余情况；部门履职对社会发展所带来的直接或间接影响及服务对象对部门履职效果的满意程度。</w:t>
      </w:r>
    </w:p>
    <w:p>
      <w:pPr>
        <w:pStyle w:val="4"/>
        <w:spacing w:before="0" w:after="0"/>
        <w:ind w:firstLine="643" w:firstLineChars="200"/>
        <w:jc w:val="both"/>
        <w:rPr>
          <w:rFonts w:ascii="楷体_GB2312" w:eastAsia="楷体_GB2312" w:hAnsiTheme="minorEastAsia"/>
          <w:kern w:val="2"/>
          <w:sz w:val="32"/>
        </w:rPr>
      </w:pPr>
      <w:bookmarkStart w:id="40" w:name="_Toc789"/>
      <w:r>
        <w:rPr>
          <w:rFonts w:hint="eastAsia" w:ascii="楷体_GB2312" w:eastAsia="楷体_GB2312" w:hAnsiTheme="minorEastAsia"/>
          <w:kern w:val="2"/>
          <w:sz w:val="32"/>
        </w:rPr>
        <w:t>（四）绩效评价原则</w:t>
      </w:r>
      <w:bookmarkEnd w:id="40"/>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1.价值导向原则：财政支出绩效评价体系应能够反映财政支出的经济性、效益性、有效性原则，体现财政部门和项目主管部门的价值导向。</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2.重要性原则：根据指标在整个指标体系中的地位和作用进行筛选，选择最具代表性、最能反映评价要求的指标。</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3.综合性原则：将定性指标和定量指标相结合，定性分析是定量分析的基础，定量分析是定性分析的深化，两者相结合系统反映财政支出所产生的社会效益。</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4.经济性原则：指标的选取要考虑现实条件及可操作性，数据的获得应符合成本效益原则，在合理成本的基础上收集信息。</w:t>
      </w:r>
    </w:p>
    <w:p>
      <w:pPr>
        <w:pStyle w:val="4"/>
        <w:spacing w:before="0" w:after="0"/>
        <w:ind w:firstLine="643" w:firstLineChars="200"/>
        <w:jc w:val="both"/>
        <w:rPr>
          <w:rFonts w:ascii="楷体_GB2312" w:eastAsia="楷体_GB2312" w:hAnsiTheme="minorEastAsia"/>
          <w:kern w:val="2"/>
          <w:sz w:val="32"/>
        </w:rPr>
      </w:pPr>
      <w:bookmarkStart w:id="41" w:name="_Toc8171"/>
      <w:r>
        <w:rPr>
          <w:rFonts w:hint="eastAsia" w:ascii="楷体_GB2312" w:eastAsia="楷体_GB2312" w:hAnsiTheme="minorEastAsia"/>
          <w:kern w:val="2"/>
          <w:sz w:val="32"/>
        </w:rPr>
        <w:t>（五）</w:t>
      </w:r>
      <w:bookmarkEnd w:id="38"/>
      <w:bookmarkStart w:id="42" w:name="_Toc465149509"/>
      <w:r>
        <w:rPr>
          <w:rFonts w:hint="eastAsia" w:ascii="楷体_GB2312" w:eastAsia="楷体_GB2312" w:hAnsiTheme="minorEastAsia"/>
          <w:kern w:val="2"/>
          <w:sz w:val="32"/>
        </w:rPr>
        <w:t>绩效评价方法</w:t>
      </w:r>
      <w:bookmarkEnd w:id="39"/>
      <w:bookmarkEnd w:id="41"/>
      <w:bookmarkEnd w:id="42"/>
    </w:p>
    <w:p>
      <w:pPr>
        <w:spacing w:after="0" w:line="360" w:lineRule="auto"/>
        <w:ind w:firstLine="640" w:firstLineChars="200"/>
        <w:jc w:val="both"/>
        <w:textAlignment w:val="baseline"/>
        <w:rPr>
          <w:rFonts w:ascii="仿宋_GB2312" w:eastAsia="仿宋_GB2312" w:cs="DengXian-Regular"/>
          <w:sz w:val="32"/>
          <w:szCs w:val="32"/>
        </w:rPr>
      </w:pPr>
      <w:bookmarkStart w:id="43" w:name="_Toc422314152"/>
      <w:bookmarkStart w:id="44" w:name="_Toc421623217"/>
      <w:bookmarkStart w:id="45" w:name="_Toc465149510"/>
      <w:bookmarkStart w:id="46" w:name="_Toc492652780"/>
      <w:r>
        <w:rPr>
          <w:rFonts w:ascii="仿宋_GB2312" w:eastAsia="仿宋_GB2312" w:cs="DengXian-Regular"/>
          <w:sz w:val="32"/>
          <w:szCs w:val="32"/>
        </w:rPr>
        <w:t>本次评价采取</w:t>
      </w:r>
      <w:r>
        <w:rPr>
          <w:rFonts w:hint="eastAsia" w:ascii="仿宋_GB2312" w:eastAsia="仿宋_GB2312" w:cs="DengXian-Regular"/>
          <w:sz w:val="32"/>
          <w:szCs w:val="32"/>
        </w:rPr>
        <w:t>目标比较法、</w:t>
      </w:r>
      <w:r>
        <w:rPr>
          <w:rFonts w:ascii="仿宋_GB2312" w:eastAsia="仿宋_GB2312" w:cs="DengXian-Regular"/>
          <w:sz w:val="32"/>
          <w:szCs w:val="32"/>
        </w:rPr>
        <w:t>定量和定性评价相结合和综合评价相结合</w:t>
      </w:r>
      <w:r>
        <w:rPr>
          <w:rFonts w:hint="eastAsia" w:ascii="仿宋_GB2312" w:eastAsia="仿宋_GB2312" w:cs="DengXian-Regular"/>
          <w:sz w:val="32"/>
          <w:szCs w:val="32"/>
        </w:rPr>
        <w:t>的方式</w:t>
      </w:r>
      <w:r>
        <w:rPr>
          <w:rFonts w:ascii="仿宋_GB2312" w:eastAsia="仿宋_GB2312" w:cs="DengXian-Regular"/>
          <w:sz w:val="32"/>
          <w:szCs w:val="32"/>
        </w:rPr>
        <w:t>，运用审查、</w:t>
      </w:r>
      <w:r>
        <w:rPr>
          <w:rFonts w:hint="eastAsia" w:ascii="仿宋_GB2312" w:eastAsia="仿宋_GB2312" w:cs="DengXian-Regular"/>
          <w:sz w:val="32"/>
          <w:szCs w:val="32"/>
        </w:rPr>
        <w:t>询问查证和问卷调查</w:t>
      </w:r>
      <w:r>
        <w:rPr>
          <w:rFonts w:ascii="仿宋_GB2312" w:eastAsia="仿宋_GB2312" w:cs="DengXian-Regular"/>
          <w:sz w:val="32"/>
          <w:szCs w:val="32"/>
        </w:rPr>
        <w:t>等方法开展</w:t>
      </w:r>
      <w:r>
        <w:rPr>
          <w:rFonts w:hint="eastAsia" w:ascii="仿宋_GB2312" w:eastAsia="仿宋_GB2312" w:cs="DengXian-Regular"/>
          <w:sz w:val="32"/>
          <w:szCs w:val="32"/>
        </w:rPr>
        <w:t>绩效</w:t>
      </w:r>
      <w:r>
        <w:rPr>
          <w:rFonts w:ascii="仿宋_GB2312" w:eastAsia="仿宋_GB2312" w:cs="DengXian-Regular"/>
          <w:sz w:val="32"/>
          <w:szCs w:val="32"/>
        </w:rPr>
        <w:t>评价工作。</w:t>
      </w:r>
      <w:bookmarkEnd w:id="43"/>
      <w:bookmarkEnd w:id="44"/>
    </w:p>
    <w:p>
      <w:pPr>
        <w:spacing w:after="0" w:line="360" w:lineRule="auto"/>
        <w:ind w:firstLine="640" w:firstLineChars="200"/>
        <w:jc w:val="both"/>
        <w:textAlignment w:val="baseline"/>
        <w:rPr>
          <w:rFonts w:ascii="仿宋_GB2312" w:eastAsia="仿宋_GB2312" w:cs="DengXian-Regular"/>
          <w:sz w:val="32"/>
          <w:szCs w:val="32"/>
        </w:rPr>
      </w:pPr>
      <w:bookmarkStart w:id="47" w:name="_Toc421623218"/>
      <w:bookmarkStart w:id="48" w:name="_Toc422314153"/>
      <w:r>
        <w:rPr>
          <w:rFonts w:ascii="仿宋_GB2312" w:eastAsia="仿宋_GB2312" w:cs="DengXian-Regular"/>
          <w:sz w:val="32"/>
          <w:szCs w:val="32"/>
        </w:rPr>
        <w:t>1</w:t>
      </w:r>
      <w:r>
        <w:rPr>
          <w:rFonts w:hint="eastAsia" w:ascii="仿宋_GB2312" w:eastAsia="仿宋_GB2312" w:cs="DengXian-Regular"/>
          <w:sz w:val="32"/>
          <w:szCs w:val="32"/>
        </w:rPr>
        <w:t>.</w:t>
      </w:r>
      <w:r>
        <w:rPr>
          <w:rFonts w:ascii="仿宋_GB2312" w:eastAsia="仿宋_GB2312" w:cs="DengXian-Regular"/>
          <w:sz w:val="32"/>
          <w:szCs w:val="32"/>
        </w:rPr>
        <w:t>审查法：通过审查被评价单位的</w:t>
      </w:r>
      <w:r>
        <w:rPr>
          <w:rFonts w:hint="eastAsia" w:ascii="仿宋_GB2312" w:eastAsia="仿宋_GB2312" w:cs="DengXian-Regular"/>
          <w:sz w:val="32"/>
          <w:szCs w:val="32"/>
        </w:rPr>
        <w:t>预算文本</w:t>
      </w:r>
      <w:r>
        <w:rPr>
          <w:rFonts w:ascii="仿宋_GB2312" w:eastAsia="仿宋_GB2312" w:cs="DengXian-Regular"/>
          <w:sz w:val="32"/>
          <w:szCs w:val="32"/>
        </w:rPr>
        <w:t>、</w:t>
      </w:r>
      <w:r>
        <w:rPr>
          <w:rFonts w:hint="eastAsia" w:ascii="仿宋_GB2312" w:eastAsia="仿宋_GB2312" w:cs="DengXian-Regular"/>
          <w:sz w:val="32"/>
          <w:szCs w:val="32"/>
        </w:rPr>
        <w:t>决算文本</w:t>
      </w:r>
      <w:r>
        <w:rPr>
          <w:rFonts w:ascii="仿宋_GB2312" w:eastAsia="仿宋_GB2312" w:cs="DengXian-Regular"/>
          <w:sz w:val="32"/>
          <w:szCs w:val="32"/>
        </w:rPr>
        <w:t>、</w:t>
      </w:r>
      <w:r>
        <w:rPr>
          <w:rFonts w:hint="eastAsia" w:ascii="仿宋_GB2312" w:eastAsia="仿宋_GB2312" w:cs="DengXian-Regular"/>
          <w:sz w:val="32"/>
          <w:szCs w:val="32"/>
        </w:rPr>
        <w:t>会计账簿、支出凭证、项目完成情况</w:t>
      </w:r>
      <w:r>
        <w:rPr>
          <w:rFonts w:ascii="仿宋_GB2312" w:eastAsia="仿宋_GB2312" w:cs="DengXian-Regular"/>
          <w:sz w:val="32"/>
          <w:szCs w:val="32"/>
        </w:rPr>
        <w:t>等</w:t>
      </w:r>
      <w:r>
        <w:rPr>
          <w:rFonts w:hint="eastAsia" w:ascii="仿宋_GB2312" w:eastAsia="仿宋_GB2312" w:cs="DengXian-Regular"/>
          <w:sz w:val="32"/>
          <w:szCs w:val="32"/>
        </w:rPr>
        <w:t>相关</w:t>
      </w:r>
      <w:r>
        <w:rPr>
          <w:rFonts w:ascii="仿宋_GB2312" w:eastAsia="仿宋_GB2312" w:cs="DengXian-Regular"/>
          <w:sz w:val="32"/>
          <w:szCs w:val="32"/>
        </w:rPr>
        <w:t>资料，分析资金</w:t>
      </w:r>
      <w:r>
        <w:rPr>
          <w:rFonts w:hint="eastAsia" w:ascii="仿宋_GB2312" w:eastAsia="仿宋_GB2312" w:cs="DengXian-Regular"/>
          <w:sz w:val="32"/>
          <w:szCs w:val="32"/>
        </w:rPr>
        <w:t>收</w:t>
      </w:r>
      <w:r>
        <w:rPr>
          <w:rFonts w:ascii="仿宋_GB2312" w:eastAsia="仿宋_GB2312" w:cs="DengXian-Regular"/>
          <w:sz w:val="32"/>
          <w:szCs w:val="32"/>
        </w:rPr>
        <w:t>支的合理性</w:t>
      </w:r>
      <w:r>
        <w:rPr>
          <w:rFonts w:hint="eastAsia" w:ascii="仿宋_GB2312" w:eastAsia="仿宋_GB2312" w:cs="DengXian-Regular"/>
          <w:sz w:val="32"/>
          <w:szCs w:val="32"/>
        </w:rPr>
        <w:t>和</w:t>
      </w:r>
      <w:r>
        <w:rPr>
          <w:rFonts w:ascii="仿宋_GB2312" w:eastAsia="仿宋_GB2312" w:cs="DengXian-Regular"/>
          <w:sz w:val="32"/>
          <w:szCs w:val="32"/>
        </w:rPr>
        <w:t>合规性</w:t>
      </w:r>
      <w:r>
        <w:rPr>
          <w:rFonts w:hint="eastAsia" w:ascii="仿宋_GB2312" w:eastAsia="仿宋_GB2312" w:cs="DengXian-Regular"/>
          <w:sz w:val="32"/>
          <w:szCs w:val="32"/>
        </w:rPr>
        <w:t>、预算执行及管理情况、绩效目标和指标的设置及完成情况、部门整体效益</w:t>
      </w:r>
      <w:r>
        <w:rPr>
          <w:rFonts w:ascii="仿宋_GB2312" w:eastAsia="仿宋_GB2312" w:cs="DengXian-Regular"/>
          <w:sz w:val="32"/>
          <w:szCs w:val="32"/>
        </w:rPr>
        <w:t>。</w:t>
      </w:r>
      <w:bookmarkEnd w:id="47"/>
      <w:bookmarkEnd w:id="48"/>
    </w:p>
    <w:p>
      <w:pPr>
        <w:spacing w:after="0" w:line="360" w:lineRule="auto"/>
        <w:ind w:firstLine="640" w:firstLineChars="200"/>
        <w:jc w:val="both"/>
        <w:textAlignment w:val="baseline"/>
        <w:rPr>
          <w:rFonts w:ascii="仿宋_GB2312" w:eastAsia="仿宋_GB2312" w:cs="DengXian-Regular"/>
          <w:sz w:val="32"/>
          <w:szCs w:val="32"/>
        </w:rPr>
      </w:pPr>
      <w:bookmarkStart w:id="49" w:name="_Toc421623220"/>
      <w:bookmarkStart w:id="50" w:name="_Toc422314155"/>
      <w:r>
        <w:rPr>
          <w:rFonts w:hint="eastAsia" w:ascii="仿宋_GB2312" w:eastAsia="仿宋_GB2312" w:cs="DengXian-Regular"/>
          <w:sz w:val="32"/>
          <w:szCs w:val="32"/>
        </w:rPr>
        <w:t>2.询问查证</w:t>
      </w:r>
      <w:r>
        <w:rPr>
          <w:rFonts w:ascii="仿宋_GB2312" w:eastAsia="仿宋_GB2312" w:cs="DengXian-Regular"/>
          <w:sz w:val="32"/>
          <w:szCs w:val="32"/>
        </w:rPr>
        <w:t>法：</w:t>
      </w:r>
      <w:r>
        <w:rPr>
          <w:rFonts w:hint="eastAsia" w:ascii="仿宋_GB2312" w:eastAsia="仿宋_GB2312" w:cs="DengXian-Regular"/>
          <w:sz w:val="32"/>
          <w:szCs w:val="32"/>
        </w:rPr>
        <w:t>在比较分析相关资料的基础上，通过询问的形式，核查项目资料是否真实、合理，从而对部门整体支出情况作出初步的判断和评价</w:t>
      </w:r>
      <w:r>
        <w:rPr>
          <w:rFonts w:ascii="仿宋_GB2312" w:eastAsia="仿宋_GB2312" w:cs="DengXian-Regular"/>
          <w:sz w:val="32"/>
          <w:szCs w:val="32"/>
        </w:rPr>
        <w:t>。</w:t>
      </w:r>
      <w:bookmarkEnd w:id="49"/>
      <w:bookmarkEnd w:id="50"/>
    </w:p>
    <w:p>
      <w:pPr>
        <w:spacing w:after="0" w:line="360" w:lineRule="auto"/>
        <w:ind w:firstLine="640" w:firstLineChars="200"/>
        <w:jc w:val="both"/>
        <w:textAlignment w:val="baseline"/>
        <w:rPr>
          <w:rFonts w:ascii="仿宋_GB2312" w:eastAsia="仿宋_GB2312" w:cs="DengXian-Regular"/>
          <w:sz w:val="32"/>
          <w:szCs w:val="32"/>
        </w:rPr>
      </w:pPr>
      <w:bookmarkStart w:id="51" w:name="_Toc422314156"/>
      <w:bookmarkStart w:id="52" w:name="_Toc421623221"/>
      <w:r>
        <w:rPr>
          <w:rFonts w:hint="eastAsia" w:ascii="仿宋_GB2312" w:eastAsia="仿宋_GB2312" w:cs="DengXian-Regular"/>
          <w:sz w:val="32"/>
          <w:szCs w:val="32"/>
        </w:rPr>
        <w:t>3.问卷调查</w:t>
      </w:r>
      <w:r>
        <w:rPr>
          <w:rFonts w:ascii="仿宋_GB2312" w:eastAsia="仿宋_GB2312" w:cs="DengXian-Regular"/>
          <w:sz w:val="32"/>
          <w:szCs w:val="32"/>
        </w:rPr>
        <w:t>法：通过</w:t>
      </w:r>
      <w:r>
        <w:rPr>
          <w:rFonts w:hint="eastAsia" w:ascii="仿宋_GB2312" w:eastAsia="仿宋_GB2312" w:cs="DengXian-Regular"/>
          <w:sz w:val="32"/>
          <w:szCs w:val="32"/>
        </w:rPr>
        <w:t>设计调查问卷，在一定范围内随机发放，并收集分析调查问卷，</w:t>
      </w:r>
      <w:r>
        <w:rPr>
          <w:rFonts w:ascii="仿宋_GB2312" w:eastAsia="仿宋_GB2312" w:cs="DengXian-Regular"/>
          <w:sz w:val="32"/>
          <w:szCs w:val="32"/>
        </w:rPr>
        <w:t>对财政支出的效果进行</w:t>
      </w:r>
      <w:r>
        <w:rPr>
          <w:rFonts w:hint="eastAsia" w:ascii="仿宋_GB2312" w:eastAsia="仿宋_GB2312" w:cs="DengXian-Regular"/>
          <w:sz w:val="32"/>
          <w:szCs w:val="32"/>
        </w:rPr>
        <w:t>评价</w:t>
      </w:r>
      <w:r>
        <w:rPr>
          <w:rFonts w:ascii="仿宋_GB2312" w:eastAsia="仿宋_GB2312" w:cs="DengXian-Regular"/>
          <w:sz w:val="32"/>
          <w:szCs w:val="32"/>
        </w:rPr>
        <w:t>，</w:t>
      </w:r>
      <w:r>
        <w:rPr>
          <w:rFonts w:hint="eastAsia" w:ascii="仿宋_GB2312" w:eastAsia="仿宋_GB2312" w:cs="DengXian-Regular"/>
          <w:sz w:val="32"/>
          <w:szCs w:val="32"/>
        </w:rPr>
        <w:t>了解服务对象对部门履职效果</w:t>
      </w:r>
      <w:r>
        <w:rPr>
          <w:rFonts w:ascii="仿宋_GB2312" w:eastAsia="仿宋_GB2312" w:cs="DengXian-Regular"/>
          <w:sz w:val="32"/>
          <w:szCs w:val="32"/>
        </w:rPr>
        <w:t>的满意</w:t>
      </w:r>
      <w:r>
        <w:rPr>
          <w:rFonts w:hint="eastAsia" w:ascii="仿宋_GB2312" w:eastAsia="仿宋_GB2312" w:cs="DengXian-Regular"/>
          <w:sz w:val="32"/>
          <w:szCs w:val="32"/>
        </w:rPr>
        <w:t>程</w:t>
      </w:r>
      <w:r>
        <w:rPr>
          <w:rFonts w:ascii="仿宋_GB2312" w:eastAsia="仿宋_GB2312" w:cs="DengXian-Regular"/>
          <w:sz w:val="32"/>
          <w:szCs w:val="32"/>
        </w:rPr>
        <w:t>度。</w:t>
      </w:r>
      <w:bookmarkEnd w:id="51"/>
      <w:bookmarkEnd w:id="52"/>
      <w:bookmarkStart w:id="53" w:name="_Toc20821"/>
    </w:p>
    <w:p>
      <w:pPr>
        <w:spacing w:after="0" w:line="360" w:lineRule="auto"/>
        <w:ind w:firstLine="643" w:firstLineChars="200"/>
        <w:jc w:val="both"/>
        <w:textAlignment w:val="baseline"/>
        <w:rPr>
          <w:rFonts w:ascii="楷体_GB2312" w:eastAsia="楷体_GB2312" w:hAnsiTheme="minorEastAsia"/>
          <w:b/>
          <w:bCs/>
          <w:kern w:val="2"/>
          <w:sz w:val="32"/>
        </w:rPr>
      </w:pPr>
      <w:r>
        <w:rPr>
          <w:rFonts w:hint="eastAsia" w:ascii="楷体_GB2312" w:eastAsia="楷体_GB2312" w:hAnsiTheme="minorEastAsia"/>
          <w:b/>
          <w:bCs/>
          <w:kern w:val="2"/>
          <w:sz w:val="32"/>
        </w:rPr>
        <w:t>（六）绩效评价工作过程</w:t>
      </w:r>
      <w:bookmarkEnd w:id="45"/>
      <w:bookmarkEnd w:id="46"/>
      <w:bookmarkEnd w:id="53"/>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本次绩效评价工作经过了前期准备、绩效评价实施方案和指标体系制定、组织实施、绩效评价报告撰写四个阶段。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1.前期准备阶段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经与区xxx单位充分沟通，并充分收集相关资料，主要包括部门职责、工作活动、预决算文本、相关管理制度、资金使用等相关资料，为制定绩效评价实施方案和指标体系奠定了基础。</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2.制定绩效评价实施方案和体系</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基于对区xxx单位相关资料的收集，制定绩效评价实施方案和体系,确定最终方案。</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3.组织实施阶段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绩效评价实施方案和指标体系，对区xxx单位开展评价工作，包括查看预决算文本及部门工作活动绩效目标和指标；比对预决算的调整及执行情况；核查固定资产管理的规范性；核查明细账与决算报表项目的一致性；对项目产出情况进行了解查看；随机选取服务对象进行满意度调查；对一些专业的问题咨询相关专家等。根据收集的数据、资料进行核对、比较、计算，对部门整体支出进行评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4.撰写绩效评价报告</w:t>
      </w:r>
      <w:bookmarkStart w:id="54" w:name="_Toc465149511"/>
      <w:bookmarkStart w:id="55" w:name="_Toc492652781"/>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在完成对各评价指标评分定级的基础上，开始进行报告撰写工作。</w:t>
      </w:r>
    </w:p>
    <w:p>
      <w:pPr>
        <w:pStyle w:val="3"/>
        <w:spacing w:before="0" w:after="0" w:line="360" w:lineRule="auto"/>
        <w:ind w:firstLine="643" w:firstLineChars="200"/>
        <w:rPr>
          <w:rFonts w:ascii="黑体"/>
        </w:rPr>
      </w:pPr>
      <w:bookmarkStart w:id="56" w:name="_Toc6467"/>
      <w:r>
        <w:rPr>
          <w:rFonts w:hint="eastAsia" w:ascii="黑体"/>
        </w:rPr>
        <w:t>四、</w:t>
      </w:r>
      <w:bookmarkEnd w:id="54"/>
      <w:bookmarkEnd w:id="55"/>
      <w:bookmarkStart w:id="57" w:name="_Toc492652782"/>
      <w:r>
        <w:rPr>
          <w:rFonts w:hint="eastAsia" w:ascii="黑体"/>
        </w:rPr>
        <w:t>绩效评价评分情况</w:t>
      </w:r>
      <w:bookmarkEnd w:id="56"/>
    </w:p>
    <w:bookmarkEnd w:id="57"/>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DengXian-Regular"/>
          <w:sz w:val="32"/>
          <w:szCs w:val="32"/>
        </w:rPr>
        <w:t>区xxx单位部门整体支出绩效评价总得分为xx分，综合绩效评价等级为“x”。各项得分情况如下</w:t>
      </w:r>
      <w:r>
        <w:rPr>
          <w:rFonts w:hint="eastAsia" w:ascii="仿宋_GB2312" w:eastAsia="仿宋_GB2312" w:cs="Times New Roman" w:hAnsiTheme="minorEastAsia"/>
          <w:sz w:val="32"/>
          <w:szCs w:val="32"/>
          <w:u w:color="000000"/>
        </w:rPr>
        <w:t>：</w:t>
      </w:r>
      <w:r>
        <w:rPr>
          <w:rFonts w:ascii="仿宋_GB2312" w:eastAsia="仿宋_GB2312" w:cs="Times New Roman" w:hAnsiTheme="minorEastAsia"/>
          <w:sz w:val="32"/>
          <w:szCs w:val="32"/>
          <w:u w:color="000000"/>
        </w:rPr>
        <w:t xml:space="preserve"> </w:t>
      </w:r>
    </w:p>
    <w:p>
      <w:pPr>
        <w:pStyle w:val="4"/>
        <w:spacing w:before="0" w:after="0"/>
        <w:ind w:firstLine="643" w:firstLineChars="200"/>
        <w:jc w:val="both"/>
        <w:rPr>
          <w:rFonts w:ascii="楷体_GB2312" w:eastAsia="楷体_GB2312" w:hAnsiTheme="minorEastAsia"/>
          <w:kern w:val="2"/>
          <w:sz w:val="32"/>
        </w:rPr>
      </w:pPr>
      <w:bookmarkStart w:id="58" w:name="_Toc492652783"/>
      <w:bookmarkStart w:id="59" w:name="_Toc4390"/>
      <w:r>
        <w:rPr>
          <w:rFonts w:hint="eastAsia" w:ascii="楷体_GB2312" w:eastAsia="楷体_GB2312" w:hAnsiTheme="minorEastAsia"/>
          <w:kern w:val="2"/>
          <w:sz w:val="32"/>
        </w:rPr>
        <w:t>（一）</w:t>
      </w:r>
      <w:bookmarkEnd w:id="58"/>
      <w:r>
        <w:rPr>
          <w:rFonts w:hint="eastAsia" w:ascii="楷体_GB2312" w:eastAsia="楷体_GB2312" w:hAnsiTheme="minorEastAsia"/>
          <w:kern w:val="2"/>
          <w:sz w:val="32"/>
        </w:rPr>
        <w:t>投入（12分）</w:t>
      </w:r>
      <w:bookmarkEnd w:id="59"/>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DengXian-Regular"/>
          <w:sz w:val="32"/>
          <w:szCs w:val="32"/>
        </w:rPr>
        <w:t>该一级指标包含绩效目标设定和预算配置两个二级指标，主要反映绩效目标设定是否合理、科学，绩效指标的制定是否清晰、可衡量，预算编制是否完整，项目预算是否细化及在职人员控制情况。</w:t>
      </w:r>
      <w:r>
        <w:rPr>
          <w:rFonts w:hint="eastAsia" w:ascii="仿宋_GB2312" w:eastAsia="仿宋_GB2312" w:cs="Times New Roman" w:hAnsiTheme="minorEastAsia"/>
          <w:sz w:val="32"/>
          <w:szCs w:val="32"/>
          <w:u w:color="000000"/>
        </w:rPr>
        <w:tab/>
      </w:r>
    </w:p>
    <w:p>
      <w:pPr>
        <w:spacing w:after="0" w:line="360" w:lineRule="auto"/>
        <w:jc w:val="center"/>
        <w:textAlignment w:val="baseline"/>
        <w:rPr>
          <w:rFonts w:asciiTheme="minorEastAsia" w:hAnsiTheme="minorEastAsia" w:eastAsiaTheme="minorEastAsia" w:cstheme="minorEastAsia"/>
          <w:b/>
          <w:bCs/>
          <w:sz w:val="32"/>
          <w:szCs w:val="32"/>
          <w:u w:color="000000"/>
        </w:rPr>
      </w:pPr>
      <w:r>
        <w:rPr>
          <w:rFonts w:hint="eastAsia" w:asciiTheme="minorEastAsia" w:hAnsiTheme="minorEastAsia" w:eastAsiaTheme="minorEastAsia" w:cstheme="minorEastAsia"/>
          <w:b/>
          <w:bCs/>
          <w:sz w:val="32"/>
          <w:szCs w:val="32"/>
          <w:u w:color="000000"/>
        </w:rPr>
        <w:t>表2  投入指标及得分情况表</w:t>
      </w:r>
    </w:p>
    <w:tbl>
      <w:tblPr>
        <w:tblStyle w:val="23"/>
        <w:tblW w:w="0" w:type="auto"/>
        <w:tblInd w:w="7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9"/>
        <w:gridCol w:w="1418"/>
        <w:gridCol w:w="1701"/>
        <w:gridCol w:w="1276"/>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一级指标</w:t>
            </w:r>
          </w:p>
        </w:tc>
        <w:tc>
          <w:tcPr>
            <w:tcW w:w="1418"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二级指标</w:t>
            </w:r>
          </w:p>
        </w:tc>
        <w:tc>
          <w:tcPr>
            <w:tcW w:w="1701"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三级指标</w:t>
            </w:r>
          </w:p>
        </w:tc>
        <w:tc>
          <w:tcPr>
            <w:tcW w:w="1276"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分值权重</w:t>
            </w:r>
          </w:p>
        </w:tc>
        <w:tc>
          <w:tcPr>
            <w:tcW w:w="1134"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投入</w:t>
            </w:r>
          </w:p>
          <w:p>
            <w:pPr>
              <w:spacing w:line="420" w:lineRule="exact"/>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（12分）</w:t>
            </w:r>
          </w:p>
        </w:tc>
        <w:tc>
          <w:tcPr>
            <w:tcW w:w="1418" w:type="dxa"/>
            <w:vMerge w:val="restart"/>
            <w:vAlign w:val="center"/>
          </w:tcPr>
          <w:p>
            <w:pPr>
              <w:spacing w:line="420" w:lineRule="exact"/>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绩效目标设定（6分）</w:t>
            </w: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绩效目标合理性</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cs="宋体" w:asciiTheme="minorEastAsia" w:hAnsiTheme="minorEastAsia" w:eastAsia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绩效目标科学性</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cs="宋体" w:asciiTheme="minorEastAsia" w:hAnsiTheme="minorEastAsia" w:eastAsia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绩效指标明确性</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cs="宋体" w:asciiTheme="minorEastAsia" w:hAnsiTheme="minorEastAsia" w:eastAsia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预算配置</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（6分）</w:t>
            </w: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预算编制完整性</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cs="宋体" w:asciiTheme="minorEastAsia" w:hAnsiTheme="minorEastAsia" w:eastAsia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项目预算细化率</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cs="宋体" w:asciiTheme="minorEastAsia" w:hAnsiTheme="minorEastAsia" w:eastAsia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在职人员控制率</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cs="宋体" w:asciiTheme="minorEastAsia" w:hAnsiTheme="minorEastAsia" w:eastAsia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977" w:type="dxa"/>
            <w:gridSpan w:val="2"/>
            <w:vAlign w:val="center"/>
          </w:tcPr>
          <w:p>
            <w:pPr>
              <w:spacing w:line="420" w:lineRule="exact"/>
              <w:ind w:firstLine="420" w:firstLineChars="200"/>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合计</w:t>
            </w:r>
          </w:p>
        </w:tc>
        <w:tc>
          <w:tcPr>
            <w:tcW w:w="1701" w:type="dxa"/>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12</w:t>
            </w:r>
          </w:p>
        </w:tc>
        <w:tc>
          <w:tcPr>
            <w:tcW w:w="1134" w:type="dxa"/>
            <w:vAlign w:val="center"/>
          </w:tcPr>
          <w:p>
            <w:pPr>
              <w:spacing w:line="420" w:lineRule="exact"/>
              <w:jc w:val="center"/>
              <w:rPr>
                <w:rFonts w:cs="宋体" w:asciiTheme="minorEastAsia" w:hAnsiTheme="minorEastAsia" w:eastAsiaTheme="minorEastAsia"/>
                <w:sz w:val="21"/>
                <w:szCs w:val="21"/>
              </w:rPr>
            </w:pPr>
          </w:p>
        </w:tc>
      </w:tr>
    </w:tbl>
    <w:p>
      <w:pPr>
        <w:spacing w:after="0" w:line="360" w:lineRule="auto"/>
        <w:ind w:firstLine="640" w:firstLineChars="200"/>
        <w:jc w:val="both"/>
        <w:textAlignment w:val="baseline"/>
        <w:rPr>
          <w:rFonts w:ascii="仿宋_GB2312" w:eastAsia="仿宋_GB2312" w:cs="DengXian-Regular"/>
          <w:sz w:val="32"/>
          <w:szCs w:val="32"/>
        </w:rPr>
      </w:pPr>
      <w:bookmarkStart w:id="60" w:name="_Toc464638478"/>
      <w:bookmarkStart w:id="61" w:name="_Toc465149513"/>
      <w:r>
        <w:rPr>
          <w:rFonts w:hint="eastAsia" w:ascii="仿宋_GB2312" w:eastAsia="仿宋_GB2312" w:cs="DengXian-Regular"/>
          <w:sz w:val="32"/>
          <w:szCs w:val="32"/>
        </w:rPr>
        <w:t>1.绩效目标设定（6分）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（1）绩效目标合理性(2分)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的职责设定是否符合“三定”方案中所赋予的职责；工作活动是否与部门职责、工作规划和重点工作相关；工作活动项下确定的预算项目是否合理，是否与工作活动密切相关；工作活动和项目预算安排是否合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通过对比保定市徐水区委办公室及保定市徐水区人民政府办公室印发的《保定市徐水区xxx单位职能配置内设机构和人员编制规定》和徐水区xxx单位202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预算文本—部门职责工作活动绩效目标，评价工作组认为区xxx单位部门职责符合“三定”方案中所赋予的职责，绩效目标设立依据充分，符合客观实际，与部门职责、工作规划和重点工作相关，工作活动和项目预算安排合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（2）绩效目标科学性（2分）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预算批复的部门年度发展规划目标和部门职责分类绩效目标是否充分，是否与部门履职、年度工作任务相符；工作活动是否有明确的绩效目标，绩效目标是否与部门职责目标、部门年度工作目标一致，是否能体现工作活动的产出和效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根据区xxx单位202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年预算文本—部门职责工作活动绩效目标（详见附件4），绩效目标与部门履职、年度工作任务相符；工作活动有明确的绩效目标，绩效目标与部门职责目标、部门年度工作目标一致。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（3）绩效目标明确性（2分）</w:t>
      </w:r>
    </w:p>
    <w:p>
      <w:pPr>
        <w:spacing w:after="0" w:line="360" w:lineRule="auto"/>
        <w:ind w:firstLine="640" w:firstLineChars="200"/>
        <w:jc w:val="both"/>
        <w:textAlignment w:val="baseline"/>
        <w:rPr>
          <w:rFonts w:ascii="仿宋_GB2312" w:eastAsia="仿宋_GB2312" w:cs="DengXian-Regular"/>
          <w:sz w:val="32"/>
          <w:szCs w:val="32"/>
          <w:highlight w:val="yellow"/>
        </w:rPr>
      </w:pPr>
      <w:r>
        <w:rPr>
          <w:rFonts w:hint="eastAsia" w:ascii="仿宋_GB2312" w:eastAsia="仿宋_GB2312" w:cs="DengXian-Regular"/>
          <w:sz w:val="32"/>
          <w:szCs w:val="32"/>
        </w:rPr>
        <w:t>该指标主要评价是否将部门整体的绩效目标细化分解为具体的工作任务，工作活动、预算项目绩效指标是否清晰、细化、可评价、可衡量；工作活动、预算项目绩效指标的评价标准是否清晰、可衡量；是否与部门年度的任务数或计划数相对应。</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根据区xxx单位202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年预算文本—部门职责工作活动绩效目标,该指标实际得分xx分。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2.预算配置（6分）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（1）预算编制完整性（2分）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该指标主要评价部门所有收入是否全部纳入部门预算，部门支出预算是否统筹各类支出，按基本支出、项目支出分别编制。</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根据区xxx单位202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年预算文本及相关会计资料，区xxx单位所有收入均已纳入部门预算，部门支出按基本支出、项目支出分别编制。</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该指标实际得分xx分。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（2）项目预算细化率（2分）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该指标主要评价编报的项目支出是否细化到具体用款单位和项目的资金额度，通过项目预算细化率衡量。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项目预算细化率=细化的项目金额/实际编报的项目金额×100%。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根据区xxx单位202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年预算文本—部门项目支出预算表，</w:t>
      </w:r>
      <w:r>
        <w:rPr>
          <w:rFonts w:hint="default" w:ascii="仿宋_GB2312" w:eastAsia="仿宋_GB2312" w:cs="DengXian-Regular"/>
          <w:sz w:val="32"/>
          <w:szCs w:val="32"/>
          <w:lang w:val="en-US"/>
        </w:rPr>
        <w:t>XXX</w:t>
      </w:r>
      <w:r>
        <w:rPr>
          <w:rFonts w:hint="eastAsia" w:ascii="仿宋_GB2312" w:eastAsia="仿宋_GB2312" w:cs="DengXian-Regular"/>
          <w:sz w:val="32"/>
          <w:szCs w:val="32"/>
          <w:lang w:val="en-US" w:eastAsia="zh-CN"/>
        </w:rPr>
        <w:t>部门</w:t>
      </w:r>
      <w:r>
        <w:rPr>
          <w:rFonts w:hint="eastAsia" w:ascii="仿宋_GB2312" w:eastAsia="仿宋_GB2312" w:cs="DengXian-Regular"/>
          <w:sz w:val="32"/>
          <w:szCs w:val="32"/>
        </w:rPr>
        <w:t>2020年预算项目共xx个（详见附件2-2-2），涉及资金xxx万元，所有项目均细化到具体用款单位及项目资金额度。项目预算细化率=（xxx/xx）*100%=100%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该指标实际得分x分。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（3）在职人员控制率（2分）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该指标主要考核截至202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年底区xxx单位在职人员控制情况，通过在职人员控制率衡量。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在职人员控制率=决算在职人员/编制数×100%。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根据保定市徐水区委办公室及保定市徐水区人民政府办公室关于印发《保定市徐水区xxx单位职能配置内设机构和人员编制规定》的通知，</w:t>
      </w:r>
      <w:r>
        <w:rPr>
          <w:rFonts w:hint="default" w:ascii="仿宋_GB2312" w:eastAsia="仿宋_GB2312" w:cs="DengXian-Regular"/>
          <w:sz w:val="32"/>
          <w:szCs w:val="32"/>
          <w:lang w:val="en-US"/>
        </w:rPr>
        <w:t>XXX</w:t>
      </w:r>
      <w:r>
        <w:rPr>
          <w:rFonts w:hint="eastAsia" w:ascii="仿宋_GB2312" w:eastAsia="仿宋_GB2312" w:cs="DengXian-Regular"/>
          <w:sz w:val="32"/>
          <w:szCs w:val="32"/>
          <w:lang w:val="en-US" w:eastAsia="zh-CN"/>
        </w:rPr>
        <w:t>部门</w:t>
      </w:r>
      <w:r>
        <w:rPr>
          <w:rFonts w:hint="eastAsia" w:ascii="仿宋_GB2312" w:eastAsia="仿宋_GB2312" w:cs="DengXian-Regular"/>
          <w:sz w:val="32"/>
          <w:szCs w:val="32"/>
        </w:rPr>
        <w:t>人员编制为xx人，根据区xxx单位202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年决算文本-部门基本情况表，截至202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年底，在职人员xx人，在职人员控制率=（xx/xx）*100%=100%。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该指标实际得分xx分。</w:t>
      </w:r>
    </w:p>
    <w:bookmarkEnd w:id="60"/>
    <w:bookmarkEnd w:id="61"/>
    <w:p>
      <w:pPr>
        <w:pStyle w:val="4"/>
        <w:spacing w:before="0" w:after="0"/>
        <w:ind w:firstLine="643" w:firstLineChars="200"/>
        <w:jc w:val="both"/>
        <w:rPr>
          <w:rFonts w:ascii="楷体" w:hAnsi="楷体" w:eastAsia="楷体"/>
          <w:sz w:val="32"/>
        </w:rPr>
      </w:pPr>
      <w:bookmarkStart w:id="62" w:name="_Toc19940"/>
      <w:r>
        <w:rPr>
          <w:rFonts w:hint="eastAsia" w:ascii="楷体" w:hAnsi="楷体" w:eastAsia="楷体"/>
          <w:sz w:val="32"/>
        </w:rPr>
        <w:t>（二）过程（48分）</w:t>
      </w:r>
      <w:bookmarkEnd w:id="62"/>
    </w:p>
    <w:p>
      <w:pPr>
        <w:spacing w:after="0" w:line="360" w:lineRule="auto"/>
        <w:ind w:firstLine="640" w:firstLineChars="200"/>
        <w:jc w:val="both"/>
        <w:textAlignment w:val="baseline"/>
        <w:rPr>
          <w:rFonts w:ascii="仿宋_GB2312" w:eastAsia="仿宋_GB2312" w:cs="DengXian-Regular"/>
          <w:sz w:val="32"/>
          <w:szCs w:val="32"/>
        </w:rPr>
      </w:pPr>
      <w:bookmarkStart w:id="63" w:name="_Toc464638480"/>
      <w:r>
        <w:rPr>
          <w:rFonts w:hint="eastAsia" w:ascii="仿宋_GB2312" w:eastAsia="仿宋_GB2312" w:cs="DengXian-Regular"/>
          <w:sz w:val="32"/>
          <w:szCs w:val="32"/>
        </w:rPr>
        <w:t>该一级指标包含预算执行、预算管理和绩效评价三个二级指标，主要反映预算调整、收入支出完成情况，“三公”经费、政府采购执行情况，财务管理是否规范、资金使用是否合规，决算真实性。</w:t>
      </w:r>
    </w:p>
    <w:p>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表3  过程指标及得分情况表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557"/>
        <w:gridCol w:w="1388"/>
        <w:gridCol w:w="2277"/>
        <w:gridCol w:w="115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1557"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388"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2277"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1155"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1276"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过程（48分）</w:t>
            </w:r>
          </w:p>
        </w:tc>
        <w:tc>
          <w:tcPr>
            <w:tcW w:w="138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预算执行</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（24分）</w:t>
            </w: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预算收入调整率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276" w:type="dxa"/>
            <w:vAlign w:val="center"/>
          </w:tcPr>
          <w:p>
            <w:pPr>
              <w:spacing w:line="420" w:lineRule="exact"/>
              <w:jc w:val="center"/>
              <w:rPr>
                <w:rFonts w:cs="宋体"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收入完成率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预算支出调整率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276" w:type="dxa"/>
            <w:vAlign w:val="center"/>
          </w:tcPr>
          <w:p>
            <w:pPr>
              <w:spacing w:line="420" w:lineRule="exact"/>
              <w:jc w:val="center"/>
              <w:rPr>
                <w:rFonts w:cs="宋体"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财政拨款支出完成率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“三公经费”控制率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pPr>
              <w:spacing w:line="420" w:lineRule="exact"/>
              <w:jc w:val="center"/>
              <w:rPr>
                <w:rFonts w:cs="宋体"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政府采购执行率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pPr>
              <w:spacing w:line="420" w:lineRule="exact"/>
              <w:jc w:val="center"/>
              <w:rPr>
                <w:rFonts w:cs="宋体"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资金使用合规性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pPr>
              <w:spacing w:line="420" w:lineRule="exact"/>
              <w:jc w:val="center"/>
              <w:rPr>
                <w:rFonts w:cs="宋体"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决算真实性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pPr>
              <w:spacing w:line="420" w:lineRule="exact"/>
              <w:jc w:val="center"/>
              <w:rPr>
                <w:rFonts w:cs="宋体"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预算管理</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（16分）</w:t>
            </w: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管理制度健全性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预决算信息公开</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基础信息完善性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资产管理规范性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绩效评价</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（8分）</w:t>
            </w: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绩效自评覆盖率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2"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绩效评价优等率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2945" w:type="dxa"/>
            <w:gridSpan w:val="2"/>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277" w:type="dxa"/>
            <w:vAlign w:val="center"/>
          </w:tcPr>
          <w:p>
            <w:pPr>
              <w:spacing w:line="420" w:lineRule="exact"/>
              <w:jc w:val="center"/>
              <w:rPr>
                <w:rFonts w:cs="宋体" w:asciiTheme="minorEastAsia" w:hAnsiTheme="minorEastAsia" w:eastAsiaTheme="minorEastAsia"/>
                <w:sz w:val="21"/>
                <w:szCs w:val="21"/>
              </w:rPr>
            </w:pP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48</w:t>
            </w:r>
          </w:p>
        </w:tc>
        <w:tc>
          <w:tcPr>
            <w:tcW w:w="1276" w:type="dxa"/>
            <w:vAlign w:val="center"/>
          </w:tcPr>
          <w:p>
            <w:pPr>
              <w:spacing w:line="420" w:lineRule="exact"/>
              <w:jc w:val="center"/>
              <w:rPr>
                <w:rFonts w:cs="宋体" w:asciiTheme="minorEastAsia" w:hAnsiTheme="minorEastAsia" w:eastAsiaTheme="minorEastAsia"/>
                <w:sz w:val="21"/>
                <w:szCs w:val="21"/>
              </w:rPr>
            </w:pPr>
          </w:p>
        </w:tc>
      </w:tr>
      <w:bookmarkEnd w:id="63"/>
    </w:tbl>
    <w:p>
      <w:pPr>
        <w:spacing w:after="0" w:line="360" w:lineRule="auto"/>
        <w:ind w:firstLine="640" w:firstLineChars="200"/>
        <w:jc w:val="both"/>
        <w:textAlignment w:val="baseline"/>
        <w:rPr>
          <w:rFonts w:ascii="仿宋_GB2312" w:eastAsia="仿宋_GB2312" w:cs="DengXian-Regular"/>
          <w:sz w:val="32"/>
          <w:szCs w:val="32"/>
        </w:rPr>
      </w:pPr>
      <w:bookmarkStart w:id="64" w:name="_Toc465149514"/>
      <w:bookmarkStart w:id="65" w:name="_Toc464638487"/>
      <w:r>
        <w:rPr>
          <w:rFonts w:hint="eastAsia" w:ascii="仿宋_GB2312" w:eastAsia="仿宋_GB2312" w:cs="DengXian-Regular"/>
          <w:sz w:val="32"/>
          <w:szCs w:val="32"/>
        </w:rPr>
        <w:t>1.预算执行（24分）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（1）预算收入调整率（2分）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该指标主要评价预算收入的调整情况，进而衡量预算收入编制的准确性，通过预算收入调整率衡量。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预算收入调整率=（调整预算数-年初预算数）/年初预算数*100%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根据区xxx单位的预算指标文件，其中：徐财预指[</w:t>
      </w:r>
      <w:r>
        <w:rPr>
          <w:rFonts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]xxx号追加行政运行办公经费xx万元；徐财预指[</w:t>
      </w:r>
      <w:r>
        <w:rPr>
          <w:rFonts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]xx号追加xxx设备购置及委托业务费合计xx万元；徐财预指[</w:t>
      </w:r>
      <w:r>
        <w:rPr>
          <w:rFonts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]xx号号追加xxx办公经费xx万元、行政运行办公经费及委托业务费合计xx万元，区xxx单位202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年度预算收入的追加数为xx万元，年初预算数为xxx万元，预算收入调整率为xx%，预算调整增加了xx个百分点，扣5.33*0.1*2=1.07分。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该项指标实际得分xx分。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（2）收入完成率（4分）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该指标主要评价部门预算收入的完成情况，用以反映部门预算收入的完成程度，通过收入完成率衡量。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收入完成率=（决算收入/预算收入）×100%。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根据区xxx单位202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年预算文本、决算文本，202</w:t>
      </w:r>
      <w:r>
        <w:rPr>
          <w:rFonts w:hint="default" w:ascii="仿宋_GB2312" w:eastAsia="仿宋_GB2312" w:cs="DengXian-Regular"/>
          <w:sz w:val="32"/>
          <w:szCs w:val="32"/>
          <w:lang w:val="en-US"/>
        </w:rPr>
        <w:t>1</w:t>
      </w:r>
      <w:r>
        <w:rPr>
          <w:rFonts w:hint="eastAsia" w:ascii="仿宋_GB2312" w:eastAsia="仿宋_GB2312" w:cs="DengXian-Regular"/>
          <w:sz w:val="32"/>
          <w:szCs w:val="32"/>
        </w:rPr>
        <w:t>年收入预算数xxx万元，收入决算数xxx万元，收入完成率=（决算数/预算数）*100%=xxx%。</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该指标实际得分xx分。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（3）预算支出调整率（2分）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该指标主要评价预算支出的调整情况，进而衡量预算支出编制的准确性，通过预算支出调整率衡量。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预算支出调整率=（调整预算数-年初预算数）/年初预算数*100%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根据区xxx单位提供的保定市财政局下发的预算指标文件，其中：徐财预指[</w:t>
      </w:r>
      <w:r>
        <w:rPr>
          <w:rFonts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]xx号追加行政运行办公经费xx万元；徐财预指[</w:t>
      </w:r>
      <w:r>
        <w:rPr>
          <w:rFonts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]xx号追加xxx设备购置及委托业务费合计xx万元；徐财预指[</w:t>
      </w:r>
      <w:r>
        <w:rPr>
          <w:rFonts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]xx号追加xxx业务办公经费xx万元、行政运行办公经费及委托业务费合计xx万元，区xxx单位202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年度预算支出的追加数合计xx万元，年初预算数为xxx万元，预算支出调整率为xx%，预算调整增加（减少）了xxx个百分点，扣（加）xx分。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该指标实际得分xx分。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（4）财政拨款支出完成率（4分）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该指标主要评价部门财政拨款的支出进度，通过财政拨款支出完成率来衡量。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财政拨款支出完成率=（部门决算财政拨款支出/部门决算财政拨款收入）*100%。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区xxx单位提供的202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年决算文本，部门决算财政拨款支出数xxx万元，财政拨款收入数xxx万元，财政拨款支出率=（财政拨款支出数/财政拨款收入数）*100%=xx%</w:t>
      </w:r>
      <w:r>
        <w:rPr>
          <w:rFonts w:ascii="Arial" w:hAnsi="Arial" w:eastAsia="仿宋_GB2312" w:cs="Arial"/>
          <w:sz w:val="32"/>
          <w:szCs w:val="32"/>
        </w:rPr>
        <w:t>≥</w:t>
      </w:r>
      <w:r>
        <w:rPr>
          <w:rFonts w:hint="eastAsia" w:ascii="仿宋_GB2312" w:eastAsia="仿宋_GB2312" w:cs="DengXian-Regular"/>
          <w:sz w:val="32"/>
          <w:szCs w:val="32"/>
        </w:rPr>
        <w:t>90%。区xxx单位202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年年初结转和结余xx万元，故支出数大于收入数。</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该指标实际得分xx分。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（5）“三公”经费控制率（3分）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该指标主要评价“三公”经费是否得到有效控制，通过“三公”经费控制率来衡量。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“三公”经费控制率=（实际支出数/预算数）*100%。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根据区xxx单位202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年预算文本及决算文本，“三公”经费年初预算数xx万元，年末决算数xx万元，“三公”经费控制率=（年末决算数/年初预算数）*100%=xx%</w:t>
      </w:r>
      <w:r>
        <w:rPr>
          <w:rFonts w:ascii="Arial" w:hAnsi="Arial" w:eastAsia="仿宋_GB2312" w:cs="Arial"/>
          <w:sz w:val="32"/>
          <w:szCs w:val="32"/>
        </w:rPr>
        <w:t>≤</w:t>
      </w:r>
      <w:r>
        <w:rPr>
          <w:rFonts w:hint="eastAsia" w:ascii="仿宋_GB2312" w:eastAsia="仿宋_GB2312" w:cs="DengXian-Regular"/>
          <w:sz w:val="32"/>
          <w:szCs w:val="32"/>
        </w:rPr>
        <w:t>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该指标实际得分xx分。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（6）政府采购执行率（3分）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该指标主要评价部门是否有效执行政府采购政策，通过政府采购执行率来衡量。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政府采购执行率=（实际政府采购金额/政府采购预算金额）*100%。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根据区xxx单位202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年预算文本及决算文本，政府采购年初预算数xx万元，年末决算数xx万元，政府采购执行率为xx。</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该指标实际得分为xx分。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（7）资金使用合规性（3分）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该指标主要评价资金使用是否按照相关法律法规和资金管理办法规定的用途使用，财务管理是否符合相关会计准则和财务制度。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根据区xxx单位202</w:t>
      </w:r>
      <w:r>
        <w:rPr>
          <w:rFonts w:hint="default" w:ascii="仿宋_GB2312" w:eastAsia="仿宋_GB2312" w:cs="DengXian-Regular"/>
          <w:sz w:val="32"/>
          <w:szCs w:val="32"/>
          <w:lang w:val="en-US"/>
        </w:rPr>
        <w:t>1</w:t>
      </w:r>
      <w:r>
        <w:rPr>
          <w:rFonts w:hint="eastAsia" w:ascii="仿宋_GB2312" w:eastAsia="仿宋_GB2312" w:cs="DengXian-Regular"/>
          <w:sz w:val="32"/>
          <w:szCs w:val="32"/>
        </w:rPr>
        <w:t>年明细账、会计凭证等相关资料，区xxx单位资金使用符合相关会计准则和财务制度，资金拨付有完备的审批程序和手续，资金使用符合部门预算批复的用途，未发现截留、挤占、挪用财政资金的情况。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该指标实际得分xx分。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（8）决算真实性（3分）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该指标主要评价决算编制数据是否与账表一致，即决算报表数据与会计账簿数据是否一致。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经核查区xxx单位202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年决算文本、明细账及总账，区xxx单位决算文本数据均与明细账、总账一致。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该指标实际得分xx分。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2.预算管理（16分）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（1）管理制度健全性（4分）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该指标主要评价部门是否制定资金管理办法、财务管理制度、会计核算制度等相关内部控制制度，制度执行是否得到有效执行。</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区xxx单位工作制度涵盖了财务制度、网络安全制度、公务用车制度等相关制度，经检查区xxx单位付款流程审批单、资产盘点表等资料，区xxx单位已按照相关管理制度的规定执行。</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该项指标实际得分xx分。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（2）预决算信息公开性（4分）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该指标主要评价部门是否按照政府信息公开的有关要求在相关网站公开部门预算、预算执行情况、年度工作任务等相关信息。</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区xxx单位202</w:t>
      </w:r>
      <w:r>
        <w:rPr>
          <w:rFonts w:hint="default" w:ascii="仿宋_GB2312" w:eastAsia="仿宋_GB2312" w:cs="DengXian-Regular"/>
          <w:sz w:val="32"/>
          <w:szCs w:val="32"/>
          <w:lang w:val="en-US"/>
        </w:rPr>
        <w:t>1</w:t>
      </w:r>
      <w:r>
        <w:rPr>
          <w:rFonts w:hint="eastAsia" w:ascii="仿宋_GB2312" w:eastAsia="仿宋_GB2312" w:cs="DengXian-Regular"/>
          <w:sz w:val="32"/>
          <w:szCs w:val="32"/>
        </w:rPr>
        <w:t>年按政府信息公开的有关要求在保定市徐水区人民政府网公开了202</w:t>
      </w:r>
      <w:r>
        <w:rPr>
          <w:rFonts w:hint="default" w:ascii="仿宋_GB2312" w:eastAsia="仿宋_GB2312" w:cs="DengXian-Regular"/>
          <w:sz w:val="32"/>
          <w:szCs w:val="32"/>
          <w:lang w:val="en-US"/>
        </w:rPr>
        <w:t>1</w:t>
      </w:r>
      <w:r>
        <w:rPr>
          <w:rFonts w:hint="eastAsia" w:ascii="仿宋_GB2312" w:eastAsia="仿宋_GB2312" w:cs="DengXian-Regular"/>
          <w:sz w:val="32"/>
          <w:szCs w:val="32"/>
        </w:rPr>
        <w:t>年的预决算情况、部门责任清单、行政监督清单等相关信息。</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该指标实际得分xx分。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（3）基础信息完善性（4分）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该指标主要评价基础数据信息和财务信息资料是否真实、完整。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根据区xxx单位提供的会计账簿、凭证及其他相关资料，区xxx单位会计信息资料真实完整，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该指标实际得分xx分。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（4）资产管理规范性（4分）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该指标主要评价资产管理是否规范，是否建立资产台账，新增资产是否符合规定程序和规定标准，资产的配置是否合规，资产保存是否完整。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区xxx单位建立了固定资产台账、无形资产台账，资产保存完整，202</w:t>
      </w:r>
      <w:r>
        <w:rPr>
          <w:rFonts w:hint="default" w:ascii="仿宋_GB2312" w:eastAsia="仿宋_GB2312" w:cs="DengXian-Regular"/>
          <w:sz w:val="32"/>
          <w:szCs w:val="32"/>
          <w:lang w:val="en-US"/>
        </w:rPr>
        <w:t>1</w:t>
      </w:r>
      <w:r>
        <w:rPr>
          <w:rFonts w:hint="eastAsia" w:ascii="仿宋_GB2312" w:eastAsia="仿宋_GB2312" w:cs="DengXian-Regular"/>
          <w:sz w:val="32"/>
          <w:szCs w:val="32"/>
        </w:rPr>
        <w:t>年新增资产xx万元，包含：xxx（xx万元）、电脑及计算机设备（xx万元）、xx（xx万元），资产购置手续完备，配置符合要求，资产管理整体较规范。</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该项指标实际得分x分。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3.绩效评价（8分）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（1）绩效自评覆盖率（4分）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该指标主要评价部门是否按相关要求实施绩效自评，通过绩效自评覆盖率来衡量。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绩效自评覆盖率=（报送相关自评材料的数量/应实施项目绩效自评数量）*100%。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根据徐水区财政局《关于开展202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年度财政专项资金部门绩效自评价工作的通知》及徐水区xxx单位202</w:t>
      </w:r>
      <w:r>
        <w:rPr>
          <w:rFonts w:hint="default" w:ascii="仿宋_GB2312" w:eastAsia="仿宋_GB2312" w:cs="DengXian-Regular"/>
          <w:sz w:val="32"/>
          <w:szCs w:val="32"/>
          <w:lang w:val="en-US"/>
        </w:rPr>
        <w:t>1</w:t>
      </w:r>
      <w:r>
        <w:rPr>
          <w:rFonts w:hint="eastAsia" w:ascii="仿宋_GB2312" w:eastAsia="仿宋_GB2312" w:cs="DengXian-Regular"/>
          <w:sz w:val="32"/>
          <w:szCs w:val="32"/>
        </w:rPr>
        <w:t>年一般项目部门绩效自评表，区xxx单位202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年开展绩效自评的项目数为xx个，年初预算文本项目数xx个，要求自评项目个数xx个，自评覆盖率为 xx%。</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该指标实际得分x分。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（2）绩效评价优等率（4分）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该指标主要评价部门开展的绩效评价项目的完成质量，通过绩效评价优等率来衡量。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绩效评价优等率=（结果达到优等的数量/参评数量）*100%。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区xxx单位202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年参评数量x个，绩效评价结果达到优等的数量x个，绩效评价优等率为xx%。</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该指标实际得分x分。</w:t>
      </w:r>
      <w:bookmarkEnd w:id="64"/>
      <w:bookmarkEnd w:id="65"/>
    </w:p>
    <w:p>
      <w:pPr>
        <w:pStyle w:val="4"/>
        <w:spacing w:before="0" w:after="0"/>
        <w:ind w:firstLine="643" w:firstLineChars="200"/>
        <w:jc w:val="both"/>
        <w:rPr>
          <w:rFonts w:ascii="楷体" w:hAnsi="楷体" w:eastAsia="楷体"/>
          <w:sz w:val="32"/>
        </w:rPr>
      </w:pPr>
      <w:bookmarkStart w:id="66" w:name="_Toc12330"/>
      <w:r>
        <w:rPr>
          <w:rFonts w:hint="eastAsia" w:ascii="楷体" w:hAnsi="楷体" w:eastAsia="楷体"/>
          <w:sz w:val="32"/>
        </w:rPr>
        <w:t>（三）产出（25分）</w:t>
      </w:r>
      <w:bookmarkEnd w:id="66"/>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该一级指标包含责任履行一个二级指标，主要反映结转结余率，项目资金使用率，社区矫正人数，社区服刑人员再次犯罪率，法律援助案件办结率。</w:t>
      </w:r>
    </w:p>
    <w:p>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表4  产出指标及得分情况表</w:t>
      </w:r>
    </w:p>
    <w:tbl>
      <w:tblPr>
        <w:tblStyle w:val="23"/>
        <w:tblW w:w="0" w:type="auto"/>
        <w:jc w:val="center"/>
        <w:tblLayout w:type="fixed"/>
        <w:tblCellMar>
          <w:top w:w="15" w:type="dxa"/>
          <w:left w:w="15" w:type="dxa"/>
          <w:bottom w:w="15" w:type="dxa"/>
          <w:right w:w="15" w:type="dxa"/>
        </w:tblCellMar>
      </w:tblPr>
      <w:tblGrid>
        <w:gridCol w:w="1577"/>
        <w:gridCol w:w="1004"/>
        <w:gridCol w:w="2536"/>
        <w:gridCol w:w="1125"/>
        <w:gridCol w:w="853"/>
      </w:tblGrid>
      <w:tr>
        <w:tblPrEx>
          <w:tblCellMar>
            <w:top w:w="15" w:type="dxa"/>
            <w:left w:w="15" w:type="dxa"/>
            <w:bottom w:w="15" w:type="dxa"/>
            <w:right w:w="15" w:type="dxa"/>
          </w:tblCellMar>
        </w:tblPrEx>
        <w:trPr>
          <w:trHeight w:val="397" w:hRule="exact"/>
          <w:jc w:val="center"/>
        </w:trPr>
        <w:tc>
          <w:tcPr>
            <w:tcW w:w="1577"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004"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tblPrEx>
          <w:tblCellMar>
            <w:top w:w="15" w:type="dxa"/>
            <w:left w:w="15" w:type="dxa"/>
            <w:bottom w:w="15" w:type="dxa"/>
            <w:right w:w="15" w:type="dxa"/>
          </w:tblCellMar>
        </w:tblPrEx>
        <w:trPr>
          <w:trHeight w:val="397" w:hRule="exact"/>
          <w:jc w:val="center"/>
        </w:trPr>
        <w:tc>
          <w:tcPr>
            <w:tcW w:w="1577" w:type="dxa"/>
            <w:vMerge w:val="restart"/>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产出</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（25分）</w:t>
            </w:r>
          </w:p>
        </w:tc>
        <w:tc>
          <w:tcPr>
            <w:tcW w:w="1004" w:type="dxa"/>
            <w:vMerge w:val="restart"/>
            <w:tcBorders>
              <w:top w:val="single" w:color="000000" w:sz="4" w:space="0"/>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责任履行（25分）</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结转结余率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r>
      <w:tr>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项目资金使用率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r>
      <w:tr>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社区矫正人数</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r>
      <w:tr>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社区服刑人员再次犯罪率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r>
      <w:tr>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法律援助办结率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r>
      <w:tr>
        <w:tblPrEx>
          <w:tblCellMar>
            <w:top w:w="15" w:type="dxa"/>
            <w:left w:w="15" w:type="dxa"/>
            <w:bottom w:w="15" w:type="dxa"/>
            <w:right w:w="15" w:type="dxa"/>
          </w:tblCellMar>
        </w:tblPrEx>
        <w:trPr>
          <w:trHeight w:val="397" w:hRule="exact"/>
          <w:jc w:val="center"/>
        </w:trPr>
        <w:tc>
          <w:tcPr>
            <w:tcW w:w="2581" w:type="dxa"/>
            <w:gridSpan w:val="2"/>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25</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20" w:lineRule="exact"/>
              <w:jc w:val="center"/>
              <w:rPr>
                <w:rFonts w:cs="宋体" w:asciiTheme="minorEastAsia" w:hAnsiTheme="minorEastAsia" w:eastAsiaTheme="minorEastAsia"/>
                <w:sz w:val="21"/>
                <w:szCs w:val="21"/>
              </w:rPr>
            </w:pPr>
          </w:p>
        </w:tc>
      </w:tr>
    </w:tbl>
    <w:p>
      <w:pPr>
        <w:spacing w:after="0" w:line="360" w:lineRule="auto"/>
        <w:ind w:firstLine="640" w:firstLineChars="200"/>
        <w:jc w:val="both"/>
        <w:textAlignment w:val="baseline"/>
        <w:rPr>
          <w:rFonts w:ascii="仿宋_GB2312" w:eastAsia="仿宋_GB2312" w:cs="DengXian-Regular"/>
          <w:sz w:val="32"/>
          <w:szCs w:val="32"/>
        </w:rPr>
      </w:pPr>
      <w:bookmarkStart w:id="67" w:name="_Toc465149515"/>
      <w:bookmarkStart w:id="68" w:name="_Toc464638518"/>
      <w:r>
        <w:rPr>
          <w:rFonts w:hint="eastAsia" w:ascii="仿宋_GB2312" w:eastAsia="仿宋_GB2312" w:cs="DengXian-Regular"/>
          <w:sz w:val="32"/>
          <w:szCs w:val="32"/>
        </w:rPr>
        <w:t>1.结转结余率（5分）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该指标主要评价部门的结转结余情况，通过结转结余率衡量。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结转结余率=（本年结转结余数/决算收入数）*100%。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根据区xxx单位202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年决算文本及相关资料，区xxx单位202</w:t>
      </w:r>
      <w:r>
        <w:rPr>
          <w:rFonts w:hint="default" w:ascii="仿宋_GB2312" w:eastAsia="仿宋_GB2312" w:cs="DengXian-Regular"/>
          <w:sz w:val="32"/>
          <w:szCs w:val="32"/>
          <w:lang w:val="en-US"/>
        </w:rPr>
        <w:t>1</w:t>
      </w:r>
      <w:r>
        <w:rPr>
          <w:rFonts w:hint="eastAsia" w:ascii="仿宋_GB2312" w:eastAsia="仿宋_GB2312" w:cs="DengXian-Regular"/>
          <w:sz w:val="32"/>
          <w:szCs w:val="32"/>
        </w:rPr>
        <w:t>年结转结余资金xx万元，决算收入xxx万元，结转结余率xx%，小于（大于）5%。</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该项指标实际得分x分。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2.项目资金使用率（5分）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该指标主要评价项目资金的使用效率，通过项目资金使用率来衡量。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项目资金使用率=（实际支出项目资金总额/计划完整项目资金总数）*100%。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区xxx单位202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年实际支出项目资金总额xxx万元，年初预算共xx个项目，预算数xx万元，年中追加项目资金xx万元，项目资金使用率为xx%。</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该指标实际得分xx分。</w:t>
      </w:r>
    </w:p>
    <w:p>
      <w:pPr>
        <w:pStyle w:val="4"/>
        <w:spacing w:before="0" w:after="0"/>
        <w:ind w:firstLine="643" w:firstLineChars="200"/>
        <w:jc w:val="both"/>
        <w:rPr>
          <w:rFonts w:ascii="楷体" w:hAnsi="楷体" w:eastAsia="楷体"/>
          <w:sz w:val="32"/>
        </w:rPr>
      </w:pPr>
      <w:bookmarkStart w:id="69" w:name="_Toc28363"/>
      <w:r>
        <w:rPr>
          <w:rFonts w:hint="eastAsia" w:ascii="楷体" w:hAnsi="楷体" w:eastAsia="楷体"/>
          <w:sz w:val="32"/>
        </w:rPr>
        <w:t>（四）效果</w:t>
      </w:r>
      <w:bookmarkEnd w:id="67"/>
      <w:bookmarkEnd w:id="68"/>
      <w:r>
        <w:rPr>
          <w:rFonts w:hint="eastAsia" w:ascii="楷体" w:hAnsi="楷体" w:eastAsia="楷体"/>
          <w:sz w:val="32"/>
        </w:rPr>
        <w:t>（15分）</w:t>
      </w:r>
      <w:bookmarkEnd w:id="69"/>
    </w:p>
    <w:p>
      <w:pPr>
        <w:spacing w:after="0" w:line="360" w:lineRule="auto"/>
        <w:ind w:firstLine="640" w:firstLineChars="200"/>
        <w:jc w:val="both"/>
        <w:textAlignment w:val="baseline"/>
        <w:rPr>
          <w:rFonts w:ascii="仿宋_GB2312" w:eastAsia="仿宋_GB2312" w:cs="DengXian-Regular"/>
          <w:sz w:val="32"/>
          <w:szCs w:val="32"/>
        </w:rPr>
      </w:pPr>
      <w:bookmarkStart w:id="70" w:name="_Toc464638520"/>
      <w:r>
        <w:rPr>
          <w:rFonts w:hint="eastAsia" w:ascii="仿宋_GB2312" w:eastAsia="仿宋_GB2312" w:cs="DengXian-Regular"/>
          <w:sz w:val="32"/>
          <w:szCs w:val="32"/>
        </w:rPr>
        <w:t>该一级指标包含履职效益一个二级指标。主要反映部门履行职责对社会发展所带来的直接或间接效益及社会公众或部门的服务对象对部门履职效果的满意程度。</w:t>
      </w:r>
    </w:p>
    <w:p>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表5  效果指标及得分情况表</w:t>
      </w:r>
    </w:p>
    <w:tbl>
      <w:tblPr>
        <w:tblStyle w:val="23"/>
        <w:tblW w:w="0" w:type="auto"/>
        <w:jc w:val="center"/>
        <w:tblLayout w:type="fixed"/>
        <w:tblCellMar>
          <w:top w:w="15" w:type="dxa"/>
          <w:left w:w="15" w:type="dxa"/>
          <w:bottom w:w="15" w:type="dxa"/>
          <w:right w:w="15" w:type="dxa"/>
        </w:tblCellMar>
      </w:tblPr>
      <w:tblGrid>
        <w:gridCol w:w="1468"/>
        <w:gridCol w:w="1155"/>
        <w:gridCol w:w="2130"/>
        <w:gridCol w:w="1200"/>
        <w:gridCol w:w="1045"/>
      </w:tblGrid>
      <w:tr>
        <w:tblPrEx>
          <w:tblCellMar>
            <w:top w:w="15" w:type="dxa"/>
            <w:left w:w="15" w:type="dxa"/>
            <w:bottom w:w="15" w:type="dxa"/>
            <w:right w:w="15" w:type="dxa"/>
          </w:tblCellMar>
        </w:tblPrEx>
        <w:trPr>
          <w:trHeight w:val="397" w:hRule="exact"/>
          <w:jc w:val="center"/>
        </w:trPr>
        <w:tc>
          <w:tcPr>
            <w:tcW w:w="1468"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2130"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tblPrEx>
          <w:tblCellMar>
            <w:top w:w="15" w:type="dxa"/>
            <w:left w:w="15" w:type="dxa"/>
            <w:bottom w:w="15" w:type="dxa"/>
            <w:right w:w="15" w:type="dxa"/>
          </w:tblCellMar>
        </w:tblPrEx>
        <w:trPr>
          <w:trHeight w:val="397" w:hRule="exact"/>
          <w:jc w:val="center"/>
        </w:trPr>
        <w:tc>
          <w:tcPr>
            <w:tcW w:w="1468"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项目效果</w:t>
            </w:r>
          </w:p>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（15分）</w:t>
            </w:r>
          </w:p>
        </w:tc>
        <w:tc>
          <w:tcPr>
            <w:tcW w:w="1155"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履职效益</w:t>
            </w:r>
          </w:p>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（15分）</w:t>
            </w: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部门整体效益</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10</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r>
      <w:tr>
        <w:tblPrEx>
          <w:tblCellMar>
            <w:top w:w="15" w:type="dxa"/>
            <w:left w:w="15" w:type="dxa"/>
            <w:bottom w:w="15" w:type="dxa"/>
            <w:right w:w="15" w:type="dxa"/>
          </w:tblCellMar>
        </w:tblPrEx>
        <w:trPr>
          <w:trHeight w:val="397" w:hRule="exact"/>
          <w:jc w:val="center"/>
        </w:trPr>
        <w:tc>
          <w:tcPr>
            <w:tcW w:w="1468"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考评满意度</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r>
      <w:tr>
        <w:tblPrEx>
          <w:tblCellMar>
            <w:top w:w="15" w:type="dxa"/>
            <w:left w:w="15" w:type="dxa"/>
            <w:bottom w:w="15" w:type="dxa"/>
            <w:right w:w="15" w:type="dxa"/>
          </w:tblCellMar>
        </w:tblPrEx>
        <w:trPr>
          <w:trHeight w:val="397" w:hRule="exact"/>
          <w:jc w:val="center"/>
        </w:trPr>
        <w:tc>
          <w:tcPr>
            <w:tcW w:w="2623" w:type="dxa"/>
            <w:gridSpan w:val="2"/>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r>
      <w:bookmarkEnd w:id="70"/>
    </w:tbl>
    <w:p>
      <w:pPr>
        <w:spacing w:after="0" w:line="360" w:lineRule="auto"/>
        <w:ind w:firstLine="640" w:firstLineChars="200"/>
        <w:jc w:val="both"/>
        <w:textAlignment w:val="baseline"/>
        <w:rPr>
          <w:rFonts w:ascii="仿宋_GB2312" w:eastAsia="仿宋_GB2312" w:cs="DengXian-Regular"/>
          <w:sz w:val="32"/>
          <w:szCs w:val="32"/>
        </w:rPr>
      </w:pPr>
      <w:bookmarkStart w:id="71" w:name="_Toc464638561"/>
      <w:bookmarkStart w:id="72" w:name="_Toc492652784"/>
      <w:bookmarkStart w:id="73" w:name="_Toc465149516"/>
      <w:r>
        <w:rPr>
          <w:rFonts w:hint="eastAsia" w:ascii="仿宋_GB2312" w:eastAsia="仿宋_GB2312" w:cs="DengXian-Regular"/>
          <w:sz w:val="32"/>
          <w:szCs w:val="32"/>
        </w:rPr>
        <w:t>1.部门整体效益（10分）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该指标主要评价部门履行职责对社会发展所带来的直接或间接效益。</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经查看区xxx单位提供的相关资料，区xxx单位履行职责对社会发展所带来的社会效益较显著，有效的提高了社会公众的xxx意识，减少了社会xxx因素。</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该项指标实际得分xx分。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2.考评满意度（5分）</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该指标主要评价社会公众或部门的服务对象对部门履职效果的满意程度。</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针对该指标，我们随机选取了50个调查对象进行了问卷调查，具体调查情况如下：</w:t>
      </w:r>
    </w:p>
    <w:p>
      <w:pPr>
        <w:spacing w:after="0" w:line="360" w:lineRule="auto"/>
        <w:jc w:val="center"/>
        <w:textAlignment w:val="baseline"/>
        <w:rPr>
          <w:rFonts w:asciiTheme="minorEastAsia" w:hAnsiTheme="minorEastAsia" w:eastAsiaTheme="minorEastAsia" w:cstheme="minorEastAsia"/>
          <w:b/>
          <w:bCs/>
          <w:sz w:val="32"/>
          <w:szCs w:val="32"/>
          <w:u w:color="000000"/>
        </w:rPr>
      </w:pPr>
      <w:r>
        <w:rPr>
          <w:rFonts w:hint="eastAsia" w:asciiTheme="minorEastAsia" w:hAnsiTheme="minorEastAsia" w:eastAsiaTheme="minorEastAsia" w:cstheme="minorEastAsia"/>
          <w:b/>
          <w:bCs/>
          <w:sz w:val="32"/>
          <w:szCs w:val="32"/>
          <w:u w:color="000000"/>
        </w:rPr>
        <w:t>表6  服务对象满意度调查问卷汇总表</w:t>
      </w:r>
    </w:p>
    <w:p>
      <w:pPr>
        <w:spacing w:after="0" w:line="540" w:lineRule="exact"/>
        <w:ind w:firstLine="6930" w:firstLineChars="3300"/>
        <w:jc w:val="both"/>
        <w:textAlignment w:val="baseline"/>
        <w:rPr>
          <w:rFonts w:ascii="仿宋_GB2312" w:eastAsia="仿宋_GB2312" w:cs="Times New Roman" w:hAnsiTheme="minorEastAsia"/>
          <w:sz w:val="32"/>
          <w:szCs w:val="32"/>
          <w:u w:color="000000"/>
        </w:rPr>
      </w:pPr>
      <w:r>
        <w:rPr>
          <w:rFonts w:hint="eastAsia" w:asciiTheme="minorEastAsia" w:hAnsiTheme="minorEastAsia" w:eastAsiaTheme="minorEastAsia" w:cstheme="minorEastAsia"/>
          <w:sz w:val="21"/>
          <w:szCs w:val="21"/>
          <w:u w:color="000000"/>
        </w:rPr>
        <w:t>单位：人次</w:t>
      </w:r>
    </w:p>
    <w:tbl>
      <w:tblPr>
        <w:tblStyle w:val="23"/>
        <w:tblW w:w="7948" w:type="dxa"/>
        <w:jc w:val="center"/>
        <w:tblLayout w:type="fixed"/>
        <w:tblCellMar>
          <w:top w:w="15" w:type="dxa"/>
          <w:left w:w="15" w:type="dxa"/>
          <w:bottom w:w="15" w:type="dxa"/>
          <w:right w:w="15" w:type="dxa"/>
        </w:tblCellMar>
      </w:tblPr>
      <w:tblGrid>
        <w:gridCol w:w="2834"/>
        <w:gridCol w:w="1114"/>
        <w:gridCol w:w="1134"/>
        <w:gridCol w:w="1218"/>
        <w:gridCol w:w="767"/>
        <w:gridCol w:w="881"/>
      </w:tblGrid>
      <w:tr>
        <w:tblPrEx>
          <w:tblCellMar>
            <w:top w:w="15" w:type="dxa"/>
            <w:left w:w="15" w:type="dxa"/>
            <w:bottom w:w="15" w:type="dxa"/>
            <w:right w:w="15" w:type="dxa"/>
          </w:tblCellMar>
        </w:tblPrEx>
        <w:trPr>
          <w:trHeight w:val="525" w:hRule="atLeast"/>
          <w:jc w:val="center"/>
        </w:trPr>
        <w:tc>
          <w:tcPr>
            <w:tcW w:w="2834"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调查项目</w:t>
            </w:r>
          </w:p>
        </w:tc>
        <w:tc>
          <w:tcPr>
            <w:tcW w:w="1114"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满意</w:t>
            </w:r>
          </w:p>
        </w:tc>
        <w:tc>
          <w:tcPr>
            <w:tcW w:w="1134"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一般</w:t>
            </w:r>
          </w:p>
        </w:tc>
        <w:tc>
          <w:tcPr>
            <w:tcW w:w="1218"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不满意</w:t>
            </w:r>
          </w:p>
        </w:tc>
        <w:tc>
          <w:tcPr>
            <w:tcW w:w="767"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合计</w:t>
            </w:r>
          </w:p>
        </w:tc>
        <w:tc>
          <w:tcPr>
            <w:tcW w:w="881"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单项得分</w:t>
            </w:r>
          </w:p>
        </w:tc>
      </w:tr>
      <w:tr>
        <w:tblPrEx>
          <w:tblCellMar>
            <w:top w:w="15" w:type="dxa"/>
            <w:left w:w="15" w:type="dxa"/>
            <w:bottom w:w="15" w:type="dxa"/>
            <w:right w:w="15" w:type="dxa"/>
          </w:tblCellMar>
        </w:tblPrEx>
        <w:trPr>
          <w:trHeight w:val="590" w:hRule="atLeast"/>
          <w:jc w:val="center"/>
        </w:trPr>
        <w:tc>
          <w:tcPr>
            <w:tcW w:w="28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某项具体工作</w:t>
            </w:r>
          </w:p>
        </w:tc>
        <w:tc>
          <w:tcPr>
            <w:tcW w:w="111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x</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x</w:t>
            </w:r>
          </w:p>
        </w:tc>
        <w:tc>
          <w:tcPr>
            <w:tcW w:w="1218"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x</w:t>
            </w:r>
          </w:p>
        </w:tc>
        <w:tc>
          <w:tcPr>
            <w:tcW w:w="767"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50</w:t>
            </w:r>
          </w:p>
        </w:tc>
        <w:tc>
          <w:tcPr>
            <w:tcW w:w="881"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xx</w:t>
            </w:r>
          </w:p>
        </w:tc>
      </w:tr>
      <w:tr>
        <w:tblPrEx>
          <w:tblCellMar>
            <w:top w:w="15" w:type="dxa"/>
            <w:left w:w="15" w:type="dxa"/>
            <w:bottom w:w="15" w:type="dxa"/>
            <w:right w:w="15" w:type="dxa"/>
          </w:tblCellMar>
        </w:tblPrEx>
        <w:trPr>
          <w:trHeight w:val="510" w:hRule="atLeast"/>
          <w:jc w:val="center"/>
        </w:trPr>
        <w:tc>
          <w:tcPr>
            <w:tcW w:w="28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某项具体工作是否满意</w:t>
            </w:r>
          </w:p>
        </w:tc>
        <w:tc>
          <w:tcPr>
            <w:tcW w:w="111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x</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x</w:t>
            </w:r>
          </w:p>
        </w:tc>
        <w:tc>
          <w:tcPr>
            <w:tcW w:w="1218"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x</w:t>
            </w:r>
          </w:p>
        </w:tc>
        <w:tc>
          <w:tcPr>
            <w:tcW w:w="767"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50</w:t>
            </w:r>
          </w:p>
        </w:tc>
        <w:tc>
          <w:tcPr>
            <w:tcW w:w="881"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xx</w:t>
            </w:r>
          </w:p>
        </w:tc>
      </w:tr>
      <w:tr>
        <w:tblPrEx>
          <w:tblCellMar>
            <w:top w:w="15" w:type="dxa"/>
            <w:left w:w="15" w:type="dxa"/>
            <w:bottom w:w="15" w:type="dxa"/>
            <w:right w:w="15" w:type="dxa"/>
          </w:tblCellMar>
        </w:tblPrEx>
        <w:trPr>
          <w:trHeight w:val="585" w:hRule="atLeast"/>
          <w:jc w:val="center"/>
        </w:trPr>
        <w:tc>
          <w:tcPr>
            <w:tcW w:w="28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您对某项具体工作了解程度如何</w:t>
            </w:r>
          </w:p>
        </w:tc>
        <w:tc>
          <w:tcPr>
            <w:tcW w:w="111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x</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x</w:t>
            </w:r>
          </w:p>
        </w:tc>
        <w:tc>
          <w:tcPr>
            <w:tcW w:w="1218"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x</w:t>
            </w:r>
          </w:p>
        </w:tc>
        <w:tc>
          <w:tcPr>
            <w:tcW w:w="767"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50</w:t>
            </w:r>
          </w:p>
        </w:tc>
        <w:tc>
          <w:tcPr>
            <w:tcW w:w="881"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x</w:t>
            </w:r>
          </w:p>
        </w:tc>
      </w:tr>
    </w:tbl>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调查问卷共分为3个单项，每个单项满分为100分。其中：每一单项满分为100分：满意为100分，一般为50分，不满意为0分。</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单项满意度得分=总分数/总人数</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总体满意度得分=∑1/3各单项满意度得分</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经计算，总体得分为xx分，小于(大于）90分，评价等级为“xx”。</w:t>
      </w:r>
    </w:p>
    <w:p>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该指标实际得分xx分。</w:t>
      </w:r>
    </w:p>
    <w:p>
      <w:pPr>
        <w:pStyle w:val="3"/>
        <w:keepNext w:val="0"/>
        <w:keepLines w:val="0"/>
        <w:suppressLineNumbers/>
        <w:spacing w:before="0" w:after="0" w:line="360" w:lineRule="auto"/>
        <w:ind w:firstLine="643" w:firstLineChars="200"/>
        <w:rPr>
          <w:rFonts w:ascii="黑体"/>
        </w:rPr>
      </w:pPr>
      <w:bookmarkStart w:id="74" w:name="_Toc13757"/>
      <w:r>
        <w:rPr>
          <w:rFonts w:hint="eastAsia" w:ascii="黑体"/>
        </w:rPr>
        <w:t>五、绩效评价发现的问题</w:t>
      </w:r>
      <w:bookmarkEnd w:id="71"/>
      <w:bookmarkEnd w:id="72"/>
      <w:bookmarkEnd w:id="73"/>
      <w:bookmarkEnd w:id="74"/>
      <w:bookmarkStart w:id="75" w:name="_Toc492652789"/>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通过对各指标得分及扣分原因的分析，</w:t>
      </w:r>
      <w:r>
        <w:rPr>
          <w:rFonts w:hint="eastAsia" w:ascii="仿宋_GB2312" w:eastAsia="仿宋_GB2312" w:cs="DengXian-Regular"/>
          <w:sz w:val="32"/>
          <w:szCs w:val="32"/>
        </w:rPr>
        <w:t>区xxx单位</w:t>
      </w:r>
      <w:r>
        <w:rPr>
          <w:rFonts w:hint="eastAsia" w:ascii="仿宋_GB2312" w:eastAsia="仿宋_GB2312" w:cs="Times New Roman" w:hAnsiTheme="minorEastAsia"/>
          <w:sz w:val="32"/>
          <w:szCs w:val="32"/>
          <w:u w:color="000000"/>
        </w:rPr>
        <w:t>202</w:t>
      </w:r>
      <w:r>
        <w:rPr>
          <w:rFonts w:hint="default" w:ascii="仿宋_GB2312" w:eastAsia="仿宋_GB2312" w:cs="Times New Roman" w:hAnsiTheme="minorEastAsia"/>
          <w:sz w:val="32"/>
          <w:szCs w:val="32"/>
          <w:u w:color="000000"/>
          <w:lang w:val="en-US"/>
        </w:rPr>
        <w:t>1</w:t>
      </w:r>
      <w:r>
        <w:rPr>
          <w:rFonts w:hint="eastAsia" w:ascii="仿宋_GB2312" w:eastAsia="仿宋_GB2312" w:cs="Times New Roman" w:hAnsiTheme="minorEastAsia"/>
          <w:sz w:val="32"/>
          <w:szCs w:val="32"/>
          <w:u w:color="000000"/>
        </w:rPr>
        <w:t>年部门整体支出基本按相关要求执行预算、决算，完成了绩效目标，资金使用效益良好。通过评价，也发现一些不足之处，具体情况如下：</w:t>
      </w:r>
      <w:bookmarkStart w:id="76" w:name="_Toc20723"/>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1.部分绩效指标方面。</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2.预算决算比较。</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3.预算追加方面</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4.政府采购方面</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5.项目资金使用率方面</w:t>
      </w:r>
    </w:p>
    <w:bookmarkEnd w:id="75"/>
    <w:bookmarkEnd w:id="76"/>
    <w:p>
      <w:pPr>
        <w:spacing w:after="0" w:line="360" w:lineRule="auto"/>
        <w:jc w:val="both"/>
        <w:textAlignment w:val="baseline"/>
        <w:rPr>
          <w:rFonts w:ascii="仿宋_GB2312" w:eastAsia="仿宋_GB2312" w:cs="Times New Roman" w:hAnsiTheme="minorEastAsia"/>
          <w:sz w:val="32"/>
          <w:szCs w:val="32"/>
          <w:u w:color="000000"/>
        </w:rPr>
      </w:pPr>
      <w:bookmarkStart w:id="77" w:name="_Toc465149521"/>
    </w:p>
    <w:p>
      <w:pPr>
        <w:spacing w:after="0" w:line="360" w:lineRule="auto"/>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附件：1.保定市徐水</w:t>
      </w:r>
      <w:r>
        <w:rPr>
          <w:rFonts w:hint="eastAsia" w:ascii="仿宋_GB2312" w:eastAsia="仿宋_GB2312" w:cs="DengXian-Regular"/>
          <w:sz w:val="32"/>
          <w:szCs w:val="32"/>
        </w:rPr>
        <w:t>区xxx单位</w:t>
      </w:r>
      <w:r>
        <w:rPr>
          <w:rFonts w:hint="eastAsia" w:ascii="仿宋_GB2312" w:eastAsia="仿宋_GB2312" w:cs="Times New Roman" w:hAnsiTheme="minorEastAsia"/>
          <w:sz w:val="32"/>
          <w:szCs w:val="32"/>
          <w:u w:color="000000"/>
        </w:rPr>
        <w:t>部门基本情况及主要职责</w:t>
      </w:r>
    </w:p>
    <w:p>
      <w:pPr>
        <w:spacing w:after="0" w:line="540" w:lineRule="exact"/>
        <w:ind w:firstLine="960" w:firstLineChars="3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2.</w:t>
      </w:r>
      <w:r>
        <w:rPr>
          <w:rFonts w:ascii="仿宋_GB2312" w:eastAsia="仿宋_GB2312" w:cs="Times New Roman" w:hAnsiTheme="minorEastAsia"/>
          <w:sz w:val="32"/>
          <w:szCs w:val="32"/>
          <w:u w:color="000000"/>
        </w:rPr>
        <w:t>202</w:t>
      </w:r>
      <w:r>
        <w:rPr>
          <w:rFonts w:hint="default" w:ascii="仿宋_GB2312" w:eastAsia="仿宋_GB2312" w:cs="Times New Roman" w:hAnsiTheme="minorEastAsia"/>
          <w:sz w:val="32"/>
          <w:szCs w:val="32"/>
          <w:u w:color="000000"/>
          <w:lang w:val="en-US"/>
        </w:rPr>
        <w:t>1</w:t>
      </w:r>
      <w:r>
        <w:rPr>
          <w:rFonts w:hint="eastAsia" w:ascii="仿宋_GB2312" w:eastAsia="仿宋_GB2312" w:cs="Times New Roman" w:hAnsiTheme="minorEastAsia"/>
          <w:sz w:val="32"/>
          <w:szCs w:val="32"/>
          <w:u w:color="000000"/>
        </w:rPr>
        <w:t>年度保定市徐水区</w:t>
      </w:r>
      <w:r>
        <w:rPr>
          <w:rFonts w:hint="eastAsia" w:ascii="仿宋_GB2312" w:eastAsia="仿宋_GB2312" w:cs="DengXian-Regular"/>
          <w:sz w:val="32"/>
          <w:szCs w:val="32"/>
        </w:rPr>
        <w:t>xxx单位</w:t>
      </w:r>
      <w:r>
        <w:rPr>
          <w:rFonts w:hint="eastAsia" w:ascii="仿宋_GB2312" w:eastAsia="仿宋_GB2312" w:cs="Times New Roman" w:hAnsiTheme="minorEastAsia"/>
          <w:sz w:val="32"/>
          <w:szCs w:val="32"/>
          <w:u w:color="000000"/>
        </w:rPr>
        <w:t>收支预算及决算明细表</w:t>
      </w:r>
    </w:p>
    <w:p>
      <w:pPr>
        <w:spacing w:after="0" w:line="540" w:lineRule="exact"/>
        <w:ind w:firstLine="960" w:firstLineChars="300"/>
        <w:jc w:val="both"/>
        <w:textAlignment w:val="baseline"/>
        <w:rPr>
          <w:rFonts w:ascii="仿宋_GB2312" w:eastAsia="仿宋_GB2312" w:cs="Times New Roman" w:hAnsiTheme="minorEastAsia"/>
          <w:sz w:val="32"/>
          <w:szCs w:val="32"/>
          <w:u w:color="000000"/>
        </w:rPr>
      </w:pPr>
      <w:bookmarkStart w:id="78" w:name="_Toc465149534"/>
      <w:r>
        <w:rPr>
          <w:rFonts w:hint="eastAsia" w:ascii="仿宋_GB2312" w:eastAsia="仿宋_GB2312" w:cs="Times New Roman" w:hAnsiTheme="minorEastAsia"/>
          <w:sz w:val="32"/>
          <w:szCs w:val="32"/>
          <w:u w:color="000000"/>
        </w:rPr>
        <w:t>3.</w:t>
      </w:r>
      <w:bookmarkEnd w:id="78"/>
      <w:r>
        <w:rPr>
          <w:rFonts w:hint="eastAsia" w:ascii="仿宋_GB2312" w:eastAsia="仿宋_GB2312" w:cs="Times New Roman" w:hAnsiTheme="minorEastAsia"/>
          <w:sz w:val="32"/>
          <w:szCs w:val="32"/>
          <w:u w:color="000000"/>
        </w:rPr>
        <w:t>部门整体支出绩效评价指标体系</w:t>
      </w:r>
    </w:p>
    <w:p>
      <w:pPr>
        <w:spacing w:after="0" w:line="540" w:lineRule="exact"/>
        <w:ind w:firstLine="960" w:firstLineChars="300"/>
        <w:jc w:val="both"/>
        <w:textAlignment w:val="baseline"/>
        <w:rPr>
          <w:rFonts w:ascii="仿宋_GB2312" w:eastAsia="仿宋_GB2312" w:cs="Times New Roman" w:hAnsiTheme="minorEastAsia"/>
          <w:sz w:val="32"/>
          <w:szCs w:val="32"/>
          <w:u w:color="000000"/>
        </w:rPr>
      </w:pPr>
      <w:bookmarkStart w:id="79" w:name="_Toc465149544"/>
      <w:r>
        <w:rPr>
          <w:rFonts w:hint="eastAsia" w:ascii="仿宋_GB2312" w:eastAsia="仿宋_GB2312" w:cs="Times New Roman" w:hAnsiTheme="minorEastAsia"/>
          <w:sz w:val="32"/>
          <w:szCs w:val="32"/>
          <w:u w:color="000000"/>
        </w:rPr>
        <w:t>4.</w:t>
      </w:r>
      <w:bookmarkEnd w:id="79"/>
      <w:r>
        <w:rPr>
          <w:rFonts w:ascii="仿宋_GB2312" w:eastAsia="仿宋_GB2312" w:cs="Times New Roman" w:hAnsiTheme="minorEastAsia"/>
          <w:sz w:val="32"/>
          <w:szCs w:val="32"/>
          <w:u w:color="000000"/>
        </w:rPr>
        <w:t>202</w:t>
      </w:r>
      <w:r>
        <w:rPr>
          <w:rFonts w:hint="default" w:ascii="仿宋_GB2312" w:eastAsia="仿宋_GB2312" w:cs="Times New Roman" w:hAnsiTheme="minorEastAsia"/>
          <w:sz w:val="32"/>
          <w:szCs w:val="32"/>
          <w:u w:color="000000"/>
          <w:lang w:val="en-US"/>
        </w:rPr>
        <w:t>1</w:t>
      </w:r>
      <w:r>
        <w:rPr>
          <w:rFonts w:hint="eastAsia" w:ascii="仿宋_GB2312" w:eastAsia="仿宋_GB2312" w:cs="Times New Roman" w:hAnsiTheme="minorEastAsia"/>
          <w:sz w:val="32"/>
          <w:szCs w:val="32"/>
          <w:u w:color="000000"/>
        </w:rPr>
        <w:t>年徐水区</w:t>
      </w:r>
      <w:r>
        <w:rPr>
          <w:rFonts w:hint="eastAsia" w:ascii="仿宋_GB2312" w:eastAsia="仿宋_GB2312" w:cs="DengXian-Regular"/>
          <w:sz w:val="32"/>
          <w:szCs w:val="32"/>
        </w:rPr>
        <w:t>xxx单位</w:t>
      </w:r>
      <w:r>
        <w:rPr>
          <w:rFonts w:hint="eastAsia" w:ascii="仿宋_GB2312" w:eastAsia="仿宋_GB2312" w:cs="Times New Roman" w:hAnsiTheme="minorEastAsia"/>
          <w:sz w:val="32"/>
          <w:szCs w:val="32"/>
          <w:u w:color="000000"/>
        </w:rPr>
        <w:t>工作活动绩效目标、绩效指标一览表</w:t>
      </w:r>
      <w:bookmarkEnd w:id="77"/>
    </w:p>
    <w:p>
      <w:pPr>
        <w:spacing w:line="540" w:lineRule="exact"/>
        <w:ind w:firstLine="640" w:firstLineChars="200"/>
        <w:jc w:val="both"/>
        <w:textAlignment w:val="baseline"/>
        <w:rPr>
          <w:rFonts w:ascii="仿宋_GB2312" w:eastAsia="仿宋_GB2312" w:cs="Times New Roman" w:hAnsiTheme="minorEastAsia"/>
          <w:sz w:val="32"/>
          <w:szCs w:val="32"/>
          <w:u w:color="000000"/>
        </w:rPr>
      </w:pPr>
    </w:p>
    <w:p>
      <w:pPr>
        <w:spacing w:line="540" w:lineRule="exact"/>
        <w:ind w:firstLine="640" w:firstLineChars="200"/>
        <w:jc w:val="both"/>
        <w:textAlignment w:val="baseline"/>
        <w:rPr>
          <w:rFonts w:ascii="仿宋_GB2312" w:eastAsia="仿宋_GB2312" w:cs="Times New Roman" w:hAnsiTheme="minorEastAsia"/>
          <w:sz w:val="32"/>
          <w:szCs w:val="32"/>
          <w:u w:color="000000"/>
        </w:rPr>
      </w:pPr>
    </w:p>
    <w:p>
      <w:pPr>
        <w:spacing w:line="540" w:lineRule="exact"/>
        <w:ind w:firstLine="640" w:firstLineChars="200"/>
        <w:jc w:val="both"/>
        <w:textAlignment w:val="baseline"/>
        <w:rPr>
          <w:rFonts w:ascii="仿宋_GB2312" w:eastAsia="仿宋_GB2312" w:cs="Times New Roman" w:hAnsiTheme="minorEastAsia"/>
          <w:sz w:val="32"/>
          <w:szCs w:val="32"/>
          <w:u w:color="000000"/>
        </w:rPr>
      </w:pPr>
    </w:p>
    <w:p>
      <w:pPr>
        <w:spacing w:line="540" w:lineRule="exact"/>
        <w:ind w:firstLine="640" w:firstLineChars="200"/>
        <w:jc w:val="both"/>
        <w:textAlignment w:val="baseline"/>
        <w:rPr>
          <w:rFonts w:ascii="仿宋_GB2312" w:eastAsia="仿宋_GB2312" w:cs="Times New Roman" w:hAnsiTheme="minorEastAsia"/>
          <w:sz w:val="32"/>
          <w:szCs w:val="32"/>
          <w:u w:color="000000"/>
        </w:rPr>
      </w:pPr>
    </w:p>
    <w:p>
      <w:pPr>
        <w:spacing w:line="540" w:lineRule="exact"/>
        <w:ind w:firstLine="640" w:firstLineChars="200"/>
        <w:jc w:val="both"/>
        <w:textAlignment w:val="baseline"/>
        <w:rPr>
          <w:rFonts w:ascii="仿宋_GB2312" w:eastAsia="仿宋_GB2312" w:cs="Times New Roman" w:hAnsiTheme="minorEastAsia"/>
          <w:sz w:val="32"/>
          <w:szCs w:val="32"/>
          <w:u w:color="000000"/>
        </w:rPr>
      </w:pPr>
    </w:p>
    <w:sectPr>
      <w:footerReference r:id="rId5" w:type="default"/>
      <w:pgSz w:w="11906" w:h="16838"/>
      <w:pgMar w:top="1440" w:right="1797" w:bottom="1191" w:left="1797" w:header="709" w:footer="709" w:gutter="0"/>
      <w:pgNumType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DengXian-Regular">
    <w:altName w:val="宋体"/>
    <w:panose1 w:val="00000000000000000000"/>
    <w:charset w:val="86"/>
    <w:family w:val="auto"/>
    <w:pitch w:val="default"/>
    <w:sig w:usb0="00000000" w:usb1="00000000" w:usb2="00000010" w:usb3="00000000" w:csb0="00040001" w:csb1="00000000"/>
  </w:font>
  <w:font w:name="方正仿宋_GBK">
    <w:panose1 w:val="03000509000000000000"/>
    <w:charset w:val="86"/>
    <w:family w:val="roma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4</w:t>
    </w:r>
    <w:r>
      <w:rPr>
        <w:lang w:val="zh-CN"/>
      </w:rPr>
      <w:fldChar w:fldCharType="end"/>
    </w:r>
  </w:p>
  <w:p>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documentProtection w:enforcement="0"/>
  <w:defaultTabStop w:val="720"/>
  <w:noPunctuationKerning w:val="1"/>
  <w:characterSpacingControl w:val="doNotCompres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ZjA2ZDQ0MjNkY2Y1YzllYjA2MWFjNGZjMDYzZTQ2MzkifQ=="/>
  </w:docVars>
  <w:rsids>
    <w:rsidRoot w:val="00D31D50"/>
    <w:rsid w:val="00004179"/>
    <w:rsid w:val="0000439F"/>
    <w:rsid w:val="00007CA0"/>
    <w:rsid w:val="00015C39"/>
    <w:rsid w:val="000174D3"/>
    <w:rsid w:val="0002415F"/>
    <w:rsid w:val="00025620"/>
    <w:rsid w:val="00026F83"/>
    <w:rsid w:val="0002705B"/>
    <w:rsid w:val="000317D7"/>
    <w:rsid w:val="00032B03"/>
    <w:rsid w:val="000334C2"/>
    <w:rsid w:val="0003450B"/>
    <w:rsid w:val="0003465E"/>
    <w:rsid w:val="00034910"/>
    <w:rsid w:val="0003506D"/>
    <w:rsid w:val="000409C0"/>
    <w:rsid w:val="0004123E"/>
    <w:rsid w:val="00044599"/>
    <w:rsid w:val="000446E5"/>
    <w:rsid w:val="00044A25"/>
    <w:rsid w:val="00047D7B"/>
    <w:rsid w:val="000509B6"/>
    <w:rsid w:val="00050A62"/>
    <w:rsid w:val="000516BA"/>
    <w:rsid w:val="00051DBC"/>
    <w:rsid w:val="00052010"/>
    <w:rsid w:val="00061096"/>
    <w:rsid w:val="000612A2"/>
    <w:rsid w:val="00063117"/>
    <w:rsid w:val="00072BF5"/>
    <w:rsid w:val="000752C6"/>
    <w:rsid w:val="00075B78"/>
    <w:rsid w:val="00077648"/>
    <w:rsid w:val="00080E48"/>
    <w:rsid w:val="00091D50"/>
    <w:rsid w:val="000935D5"/>
    <w:rsid w:val="0009618D"/>
    <w:rsid w:val="00096195"/>
    <w:rsid w:val="0009756F"/>
    <w:rsid w:val="000A1F67"/>
    <w:rsid w:val="000A2079"/>
    <w:rsid w:val="000A5467"/>
    <w:rsid w:val="000B09F3"/>
    <w:rsid w:val="000B0C4A"/>
    <w:rsid w:val="000B23E8"/>
    <w:rsid w:val="000B62FE"/>
    <w:rsid w:val="000B72BC"/>
    <w:rsid w:val="000B78D7"/>
    <w:rsid w:val="000C1EA5"/>
    <w:rsid w:val="000C52FB"/>
    <w:rsid w:val="000C55E6"/>
    <w:rsid w:val="000C6D5A"/>
    <w:rsid w:val="000D09B2"/>
    <w:rsid w:val="000D7C38"/>
    <w:rsid w:val="000E0902"/>
    <w:rsid w:val="000E3830"/>
    <w:rsid w:val="000F070B"/>
    <w:rsid w:val="000F3158"/>
    <w:rsid w:val="000F364D"/>
    <w:rsid w:val="000F4432"/>
    <w:rsid w:val="000F465E"/>
    <w:rsid w:val="000F5E8C"/>
    <w:rsid w:val="001000B2"/>
    <w:rsid w:val="00104C6C"/>
    <w:rsid w:val="0010560E"/>
    <w:rsid w:val="0010612A"/>
    <w:rsid w:val="00106FF7"/>
    <w:rsid w:val="00107111"/>
    <w:rsid w:val="001073D6"/>
    <w:rsid w:val="00107819"/>
    <w:rsid w:val="0011574B"/>
    <w:rsid w:val="00116132"/>
    <w:rsid w:val="00117B9C"/>
    <w:rsid w:val="00117E7D"/>
    <w:rsid w:val="00120EA6"/>
    <w:rsid w:val="00122196"/>
    <w:rsid w:val="0012439D"/>
    <w:rsid w:val="0012587C"/>
    <w:rsid w:val="0013591D"/>
    <w:rsid w:val="00141DE8"/>
    <w:rsid w:val="00144105"/>
    <w:rsid w:val="00145B4E"/>
    <w:rsid w:val="001544E1"/>
    <w:rsid w:val="001551CE"/>
    <w:rsid w:val="00164732"/>
    <w:rsid w:val="00164FE1"/>
    <w:rsid w:val="001703D7"/>
    <w:rsid w:val="001719D0"/>
    <w:rsid w:val="00172245"/>
    <w:rsid w:val="0017403C"/>
    <w:rsid w:val="00174241"/>
    <w:rsid w:val="00176E7D"/>
    <w:rsid w:val="001804B7"/>
    <w:rsid w:val="001827F5"/>
    <w:rsid w:val="00183C43"/>
    <w:rsid w:val="00185652"/>
    <w:rsid w:val="00187750"/>
    <w:rsid w:val="00190292"/>
    <w:rsid w:val="001926B8"/>
    <w:rsid w:val="0019341A"/>
    <w:rsid w:val="001952EC"/>
    <w:rsid w:val="001A0F7A"/>
    <w:rsid w:val="001A1677"/>
    <w:rsid w:val="001A5FD3"/>
    <w:rsid w:val="001B0380"/>
    <w:rsid w:val="001B04A4"/>
    <w:rsid w:val="001B30D5"/>
    <w:rsid w:val="001B382A"/>
    <w:rsid w:val="001B5C88"/>
    <w:rsid w:val="001B6CE6"/>
    <w:rsid w:val="001C046D"/>
    <w:rsid w:val="001C1412"/>
    <w:rsid w:val="001C391F"/>
    <w:rsid w:val="001C5135"/>
    <w:rsid w:val="001C796E"/>
    <w:rsid w:val="001D1367"/>
    <w:rsid w:val="001D5041"/>
    <w:rsid w:val="001D5A7C"/>
    <w:rsid w:val="001D76AA"/>
    <w:rsid w:val="001E21EA"/>
    <w:rsid w:val="001E288A"/>
    <w:rsid w:val="001E3ABB"/>
    <w:rsid w:val="001E4C24"/>
    <w:rsid w:val="001E5C43"/>
    <w:rsid w:val="001F07B6"/>
    <w:rsid w:val="001F0B92"/>
    <w:rsid w:val="001F1094"/>
    <w:rsid w:val="001F2F0E"/>
    <w:rsid w:val="001F33AA"/>
    <w:rsid w:val="001F6236"/>
    <w:rsid w:val="00200051"/>
    <w:rsid w:val="00202D5A"/>
    <w:rsid w:val="00205F02"/>
    <w:rsid w:val="0021307B"/>
    <w:rsid w:val="002142B8"/>
    <w:rsid w:val="002161F4"/>
    <w:rsid w:val="00216E75"/>
    <w:rsid w:val="00221907"/>
    <w:rsid w:val="00222FA8"/>
    <w:rsid w:val="0022532A"/>
    <w:rsid w:val="00227AFB"/>
    <w:rsid w:val="00235741"/>
    <w:rsid w:val="00236B18"/>
    <w:rsid w:val="002401EA"/>
    <w:rsid w:val="00241B9D"/>
    <w:rsid w:val="002439D4"/>
    <w:rsid w:val="00245CB2"/>
    <w:rsid w:val="00246A44"/>
    <w:rsid w:val="00250BAC"/>
    <w:rsid w:val="00260245"/>
    <w:rsid w:val="0026252A"/>
    <w:rsid w:val="00262BB1"/>
    <w:rsid w:val="00263D3A"/>
    <w:rsid w:val="002643BE"/>
    <w:rsid w:val="00265325"/>
    <w:rsid w:val="00266E84"/>
    <w:rsid w:val="002715FC"/>
    <w:rsid w:val="002736FD"/>
    <w:rsid w:val="00274CFA"/>
    <w:rsid w:val="00275677"/>
    <w:rsid w:val="00275A3F"/>
    <w:rsid w:val="0028068C"/>
    <w:rsid w:val="00280F6C"/>
    <w:rsid w:val="00282A89"/>
    <w:rsid w:val="00283F8F"/>
    <w:rsid w:val="002869F9"/>
    <w:rsid w:val="00292F98"/>
    <w:rsid w:val="002939A0"/>
    <w:rsid w:val="002959A3"/>
    <w:rsid w:val="0029626E"/>
    <w:rsid w:val="00296E59"/>
    <w:rsid w:val="00297CEF"/>
    <w:rsid w:val="002A0364"/>
    <w:rsid w:val="002A1661"/>
    <w:rsid w:val="002A1A25"/>
    <w:rsid w:val="002A563C"/>
    <w:rsid w:val="002B05EF"/>
    <w:rsid w:val="002B2E34"/>
    <w:rsid w:val="002B76FA"/>
    <w:rsid w:val="002C029E"/>
    <w:rsid w:val="002C2C71"/>
    <w:rsid w:val="002C5A65"/>
    <w:rsid w:val="002C71F3"/>
    <w:rsid w:val="002D2112"/>
    <w:rsid w:val="002D53D7"/>
    <w:rsid w:val="002D5508"/>
    <w:rsid w:val="002D5FC1"/>
    <w:rsid w:val="002D7AB3"/>
    <w:rsid w:val="002E1D3C"/>
    <w:rsid w:val="002E1F73"/>
    <w:rsid w:val="002E269D"/>
    <w:rsid w:val="002E3460"/>
    <w:rsid w:val="002E70AE"/>
    <w:rsid w:val="002F0C41"/>
    <w:rsid w:val="002F5B6A"/>
    <w:rsid w:val="002F5BF5"/>
    <w:rsid w:val="002F5ECA"/>
    <w:rsid w:val="00306572"/>
    <w:rsid w:val="003079C7"/>
    <w:rsid w:val="003169F3"/>
    <w:rsid w:val="0032078D"/>
    <w:rsid w:val="00321CE0"/>
    <w:rsid w:val="0032231F"/>
    <w:rsid w:val="00323B43"/>
    <w:rsid w:val="00325BCC"/>
    <w:rsid w:val="003309A3"/>
    <w:rsid w:val="003345BC"/>
    <w:rsid w:val="00343662"/>
    <w:rsid w:val="0035365E"/>
    <w:rsid w:val="00355403"/>
    <w:rsid w:val="003569A8"/>
    <w:rsid w:val="00361FFF"/>
    <w:rsid w:val="00362340"/>
    <w:rsid w:val="003653A5"/>
    <w:rsid w:val="00366971"/>
    <w:rsid w:val="00367DF7"/>
    <w:rsid w:val="00370AFA"/>
    <w:rsid w:val="0037120F"/>
    <w:rsid w:val="0037242E"/>
    <w:rsid w:val="003743E9"/>
    <w:rsid w:val="0038005F"/>
    <w:rsid w:val="003803CC"/>
    <w:rsid w:val="00382949"/>
    <w:rsid w:val="00391AE3"/>
    <w:rsid w:val="00396D4C"/>
    <w:rsid w:val="003A02BE"/>
    <w:rsid w:val="003A1765"/>
    <w:rsid w:val="003A3C32"/>
    <w:rsid w:val="003A4D02"/>
    <w:rsid w:val="003A4D52"/>
    <w:rsid w:val="003A536E"/>
    <w:rsid w:val="003B6DEC"/>
    <w:rsid w:val="003B79D3"/>
    <w:rsid w:val="003C2B92"/>
    <w:rsid w:val="003D126B"/>
    <w:rsid w:val="003D1D33"/>
    <w:rsid w:val="003D22C9"/>
    <w:rsid w:val="003D28AC"/>
    <w:rsid w:val="003D37D8"/>
    <w:rsid w:val="003D7B2A"/>
    <w:rsid w:val="003E266C"/>
    <w:rsid w:val="003E3C05"/>
    <w:rsid w:val="003F282F"/>
    <w:rsid w:val="00400E89"/>
    <w:rsid w:val="00401AB4"/>
    <w:rsid w:val="00402CA2"/>
    <w:rsid w:val="00402D95"/>
    <w:rsid w:val="00403ADD"/>
    <w:rsid w:val="00407629"/>
    <w:rsid w:val="004108EE"/>
    <w:rsid w:val="00410F1A"/>
    <w:rsid w:val="00412A31"/>
    <w:rsid w:val="004200B9"/>
    <w:rsid w:val="00426133"/>
    <w:rsid w:val="004300B1"/>
    <w:rsid w:val="00430AF8"/>
    <w:rsid w:val="0043148F"/>
    <w:rsid w:val="0043354D"/>
    <w:rsid w:val="00434EB0"/>
    <w:rsid w:val="004358AB"/>
    <w:rsid w:val="00435DA7"/>
    <w:rsid w:val="004370A2"/>
    <w:rsid w:val="00445C28"/>
    <w:rsid w:val="004468B5"/>
    <w:rsid w:val="00451E9F"/>
    <w:rsid w:val="004551F1"/>
    <w:rsid w:val="00456648"/>
    <w:rsid w:val="00457E00"/>
    <w:rsid w:val="00461E7C"/>
    <w:rsid w:val="004639E0"/>
    <w:rsid w:val="00463A6D"/>
    <w:rsid w:val="00465A21"/>
    <w:rsid w:val="0047047F"/>
    <w:rsid w:val="00472C49"/>
    <w:rsid w:val="00474DE3"/>
    <w:rsid w:val="00477959"/>
    <w:rsid w:val="00486217"/>
    <w:rsid w:val="00486A56"/>
    <w:rsid w:val="00494D73"/>
    <w:rsid w:val="004A19C4"/>
    <w:rsid w:val="004A6EA4"/>
    <w:rsid w:val="004B146A"/>
    <w:rsid w:val="004B1E69"/>
    <w:rsid w:val="004B4146"/>
    <w:rsid w:val="004B5892"/>
    <w:rsid w:val="004B59DD"/>
    <w:rsid w:val="004B5E88"/>
    <w:rsid w:val="004B5EDE"/>
    <w:rsid w:val="004C0341"/>
    <w:rsid w:val="004C46D3"/>
    <w:rsid w:val="004C5D39"/>
    <w:rsid w:val="004C7656"/>
    <w:rsid w:val="004C7C48"/>
    <w:rsid w:val="004D21B9"/>
    <w:rsid w:val="004D21FF"/>
    <w:rsid w:val="004D2DD5"/>
    <w:rsid w:val="004D41F0"/>
    <w:rsid w:val="004D55F1"/>
    <w:rsid w:val="004D578A"/>
    <w:rsid w:val="004D656B"/>
    <w:rsid w:val="004D7523"/>
    <w:rsid w:val="004E0AA9"/>
    <w:rsid w:val="004E1AEF"/>
    <w:rsid w:val="004E3774"/>
    <w:rsid w:val="004E446B"/>
    <w:rsid w:val="004E5448"/>
    <w:rsid w:val="004E5DFC"/>
    <w:rsid w:val="004E642E"/>
    <w:rsid w:val="004E7ADC"/>
    <w:rsid w:val="004F4875"/>
    <w:rsid w:val="005031BA"/>
    <w:rsid w:val="00507211"/>
    <w:rsid w:val="00507934"/>
    <w:rsid w:val="0051171B"/>
    <w:rsid w:val="00512D1D"/>
    <w:rsid w:val="005131A5"/>
    <w:rsid w:val="00515160"/>
    <w:rsid w:val="00516D5A"/>
    <w:rsid w:val="005170FB"/>
    <w:rsid w:val="0052300D"/>
    <w:rsid w:val="00523B77"/>
    <w:rsid w:val="0052474C"/>
    <w:rsid w:val="00525074"/>
    <w:rsid w:val="00525520"/>
    <w:rsid w:val="005319EE"/>
    <w:rsid w:val="00531BE2"/>
    <w:rsid w:val="005421AC"/>
    <w:rsid w:val="00544C1A"/>
    <w:rsid w:val="00546D1B"/>
    <w:rsid w:val="0055027D"/>
    <w:rsid w:val="00554FA1"/>
    <w:rsid w:val="00556934"/>
    <w:rsid w:val="005601FB"/>
    <w:rsid w:val="005607DF"/>
    <w:rsid w:val="00564377"/>
    <w:rsid w:val="00564538"/>
    <w:rsid w:val="00566A89"/>
    <w:rsid w:val="00567E07"/>
    <w:rsid w:val="005771F7"/>
    <w:rsid w:val="00577B7B"/>
    <w:rsid w:val="00583F7F"/>
    <w:rsid w:val="0058600B"/>
    <w:rsid w:val="00587913"/>
    <w:rsid w:val="00593428"/>
    <w:rsid w:val="00593B65"/>
    <w:rsid w:val="005A15D6"/>
    <w:rsid w:val="005A1FD8"/>
    <w:rsid w:val="005A317D"/>
    <w:rsid w:val="005A79F9"/>
    <w:rsid w:val="005C3594"/>
    <w:rsid w:val="005C46B7"/>
    <w:rsid w:val="005C7C8B"/>
    <w:rsid w:val="005D5617"/>
    <w:rsid w:val="005D6591"/>
    <w:rsid w:val="005D6869"/>
    <w:rsid w:val="005D7446"/>
    <w:rsid w:val="005E5F88"/>
    <w:rsid w:val="005F06F5"/>
    <w:rsid w:val="005F46C0"/>
    <w:rsid w:val="005F471D"/>
    <w:rsid w:val="005F720A"/>
    <w:rsid w:val="005F7467"/>
    <w:rsid w:val="005F78E7"/>
    <w:rsid w:val="006007F3"/>
    <w:rsid w:val="0060402C"/>
    <w:rsid w:val="0061252A"/>
    <w:rsid w:val="006135B3"/>
    <w:rsid w:val="006138D4"/>
    <w:rsid w:val="00616C03"/>
    <w:rsid w:val="00616F30"/>
    <w:rsid w:val="006215A2"/>
    <w:rsid w:val="00621F7D"/>
    <w:rsid w:val="00622AD1"/>
    <w:rsid w:val="00623267"/>
    <w:rsid w:val="00625428"/>
    <w:rsid w:val="0062670B"/>
    <w:rsid w:val="00630B86"/>
    <w:rsid w:val="00630F5B"/>
    <w:rsid w:val="00634C66"/>
    <w:rsid w:val="006352D1"/>
    <w:rsid w:val="00636E1A"/>
    <w:rsid w:val="00642BA5"/>
    <w:rsid w:val="006434E0"/>
    <w:rsid w:val="00650C90"/>
    <w:rsid w:val="0065172D"/>
    <w:rsid w:val="0065287D"/>
    <w:rsid w:val="0065671B"/>
    <w:rsid w:val="00656A5A"/>
    <w:rsid w:val="00663A42"/>
    <w:rsid w:val="0066418E"/>
    <w:rsid w:val="0066469F"/>
    <w:rsid w:val="0067780F"/>
    <w:rsid w:val="00686C30"/>
    <w:rsid w:val="00690FA3"/>
    <w:rsid w:val="0069331D"/>
    <w:rsid w:val="00696DF8"/>
    <w:rsid w:val="0069783E"/>
    <w:rsid w:val="00697E26"/>
    <w:rsid w:val="006A0330"/>
    <w:rsid w:val="006A3AE1"/>
    <w:rsid w:val="006A3B57"/>
    <w:rsid w:val="006A6AB2"/>
    <w:rsid w:val="006B117D"/>
    <w:rsid w:val="006B19B7"/>
    <w:rsid w:val="006B392C"/>
    <w:rsid w:val="006B4CC0"/>
    <w:rsid w:val="006B65B0"/>
    <w:rsid w:val="006C5198"/>
    <w:rsid w:val="006C6A07"/>
    <w:rsid w:val="006E0A3D"/>
    <w:rsid w:val="006E27F1"/>
    <w:rsid w:val="006E5BC8"/>
    <w:rsid w:val="006E7CBA"/>
    <w:rsid w:val="006F222F"/>
    <w:rsid w:val="006F7B69"/>
    <w:rsid w:val="0070241F"/>
    <w:rsid w:val="007024A9"/>
    <w:rsid w:val="00703C96"/>
    <w:rsid w:val="007130D7"/>
    <w:rsid w:val="00713E98"/>
    <w:rsid w:val="00715591"/>
    <w:rsid w:val="00715AE8"/>
    <w:rsid w:val="0072516F"/>
    <w:rsid w:val="00725D44"/>
    <w:rsid w:val="0073034D"/>
    <w:rsid w:val="00731ADC"/>
    <w:rsid w:val="007330F2"/>
    <w:rsid w:val="00733DB0"/>
    <w:rsid w:val="00735043"/>
    <w:rsid w:val="00740444"/>
    <w:rsid w:val="00744577"/>
    <w:rsid w:val="007452CF"/>
    <w:rsid w:val="00746055"/>
    <w:rsid w:val="00746DA9"/>
    <w:rsid w:val="00747086"/>
    <w:rsid w:val="007515E2"/>
    <w:rsid w:val="00756D66"/>
    <w:rsid w:val="00761D80"/>
    <w:rsid w:val="0076364A"/>
    <w:rsid w:val="00766FC5"/>
    <w:rsid w:val="00770E5B"/>
    <w:rsid w:val="00772930"/>
    <w:rsid w:val="00776E20"/>
    <w:rsid w:val="007814AF"/>
    <w:rsid w:val="007825F0"/>
    <w:rsid w:val="00787F88"/>
    <w:rsid w:val="0079721A"/>
    <w:rsid w:val="007A095C"/>
    <w:rsid w:val="007A0AF8"/>
    <w:rsid w:val="007A283A"/>
    <w:rsid w:val="007A65C8"/>
    <w:rsid w:val="007A6B16"/>
    <w:rsid w:val="007A7AC4"/>
    <w:rsid w:val="007B639C"/>
    <w:rsid w:val="007B7036"/>
    <w:rsid w:val="007C0870"/>
    <w:rsid w:val="007C2D10"/>
    <w:rsid w:val="007C457D"/>
    <w:rsid w:val="007D02A9"/>
    <w:rsid w:val="007D166D"/>
    <w:rsid w:val="007D17C7"/>
    <w:rsid w:val="007D2766"/>
    <w:rsid w:val="007D2FF7"/>
    <w:rsid w:val="007D74D8"/>
    <w:rsid w:val="007E13A4"/>
    <w:rsid w:val="007E20CA"/>
    <w:rsid w:val="007E3988"/>
    <w:rsid w:val="007E4698"/>
    <w:rsid w:val="007E6959"/>
    <w:rsid w:val="007E6991"/>
    <w:rsid w:val="007E7A36"/>
    <w:rsid w:val="007F222D"/>
    <w:rsid w:val="007F3FB7"/>
    <w:rsid w:val="007F518D"/>
    <w:rsid w:val="007F68FE"/>
    <w:rsid w:val="007F7E7E"/>
    <w:rsid w:val="00803C29"/>
    <w:rsid w:val="00804E5E"/>
    <w:rsid w:val="00804FAA"/>
    <w:rsid w:val="00805678"/>
    <w:rsid w:val="00805D26"/>
    <w:rsid w:val="0081553D"/>
    <w:rsid w:val="00815BE9"/>
    <w:rsid w:val="00815C94"/>
    <w:rsid w:val="00815CF6"/>
    <w:rsid w:val="00816990"/>
    <w:rsid w:val="00817981"/>
    <w:rsid w:val="00822851"/>
    <w:rsid w:val="00824A75"/>
    <w:rsid w:val="0082509A"/>
    <w:rsid w:val="00825A51"/>
    <w:rsid w:val="00825D53"/>
    <w:rsid w:val="008272DF"/>
    <w:rsid w:val="00831065"/>
    <w:rsid w:val="008337A7"/>
    <w:rsid w:val="00835BCB"/>
    <w:rsid w:val="00836773"/>
    <w:rsid w:val="00836E6A"/>
    <w:rsid w:val="008410D0"/>
    <w:rsid w:val="00841559"/>
    <w:rsid w:val="0084558B"/>
    <w:rsid w:val="00845924"/>
    <w:rsid w:val="00846107"/>
    <w:rsid w:val="00847E07"/>
    <w:rsid w:val="00851297"/>
    <w:rsid w:val="00852C43"/>
    <w:rsid w:val="00853737"/>
    <w:rsid w:val="008541B8"/>
    <w:rsid w:val="00857249"/>
    <w:rsid w:val="00861067"/>
    <w:rsid w:val="00862AE2"/>
    <w:rsid w:val="00862C25"/>
    <w:rsid w:val="00863CA2"/>
    <w:rsid w:val="00864A80"/>
    <w:rsid w:val="008655ED"/>
    <w:rsid w:val="00866942"/>
    <w:rsid w:val="00871B0D"/>
    <w:rsid w:val="00871B14"/>
    <w:rsid w:val="008735A1"/>
    <w:rsid w:val="00875962"/>
    <w:rsid w:val="00880325"/>
    <w:rsid w:val="00882ABD"/>
    <w:rsid w:val="008844A4"/>
    <w:rsid w:val="008857CC"/>
    <w:rsid w:val="0089314F"/>
    <w:rsid w:val="0089328E"/>
    <w:rsid w:val="0089513A"/>
    <w:rsid w:val="00896069"/>
    <w:rsid w:val="00896786"/>
    <w:rsid w:val="008976AB"/>
    <w:rsid w:val="008A2C15"/>
    <w:rsid w:val="008A3DBA"/>
    <w:rsid w:val="008A483E"/>
    <w:rsid w:val="008A5601"/>
    <w:rsid w:val="008B7726"/>
    <w:rsid w:val="008C08EC"/>
    <w:rsid w:val="008C2997"/>
    <w:rsid w:val="008C443B"/>
    <w:rsid w:val="008C538A"/>
    <w:rsid w:val="008D0618"/>
    <w:rsid w:val="008D1AEB"/>
    <w:rsid w:val="008D1E23"/>
    <w:rsid w:val="008D2A7C"/>
    <w:rsid w:val="008D3031"/>
    <w:rsid w:val="008D4F00"/>
    <w:rsid w:val="008D7DBC"/>
    <w:rsid w:val="008E08B2"/>
    <w:rsid w:val="008E0AFC"/>
    <w:rsid w:val="008E1E43"/>
    <w:rsid w:val="008E3116"/>
    <w:rsid w:val="008E637F"/>
    <w:rsid w:val="008E66FE"/>
    <w:rsid w:val="008F27DB"/>
    <w:rsid w:val="008F5B6F"/>
    <w:rsid w:val="009002A3"/>
    <w:rsid w:val="0090038C"/>
    <w:rsid w:val="009007EC"/>
    <w:rsid w:val="00900EF5"/>
    <w:rsid w:val="00901EE5"/>
    <w:rsid w:val="0090421D"/>
    <w:rsid w:val="00906447"/>
    <w:rsid w:val="0091349D"/>
    <w:rsid w:val="009141C7"/>
    <w:rsid w:val="009160EA"/>
    <w:rsid w:val="00920597"/>
    <w:rsid w:val="00921E42"/>
    <w:rsid w:val="00922872"/>
    <w:rsid w:val="0092425B"/>
    <w:rsid w:val="00924D39"/>
    <w:rsid w:val="00924FFE"/>
    <w:rsid w:val="009263C3"/>
    <w:rsid w:val="009268AB"/>
    <w:rsid w:val="009364FF"/>
    <w:rsid w:val="00942397"/>
    <w:rsid w:val="009425B4"/>
    <w:rsid w:val="00946F52"/>
    <w:rsid w:val="00950F44"/>
    <w:rsid w:val="00952A7D"/>
    <w:rsid w:val="00952BF8"/>
    <w:rsid w:val="00953747"/>
    <w:rsid w:val="0095565A"/>
    <w:rsid w:val="00955918"/>
    <w:rsid w:val="00960439"/>
    <w:rsid w:val="00961D67"/>
    <w:rsid w:val="00962D93"/>
    <w:rsid w:val="009636EF"/>
    <w:rsid w:val="0096408D"/>
    <w:rsid w:val="009651A8"/>
    <w:rsid w:val="009657E9"/>
    <w:rsid w:val="0096666B"/>
    <w:rsid w:val="0097114E"/>
    <w:rsid w:val="009719C3"/>
    <w:rsid w:val="0097578E"/>
    <w:rsid w:val="00976E55"/>
    <w:rsid w:val="009814B0"/>
    <w:rsid w:val="00984D41"/>
    <w:rsid w:val="009852BB"/>
    <w:rsid w:val="009853C4"/>
    <w:rsid w:val="0098547C"/>
    <w:rsid w:val="009860B4"/>
    <w:rsid w:val="00986724"/>
    <w:rsid w:val="0098718E"/>
    <w:rsid w:val="00994269"/>
    <w:rsid w:val="0099439A"/>
    <w:rsid w:val="00994737"/>
    <w:rsid w:val="009A0F00"/>
    <w:rsid w:val="009A37AE"/>
    <w:rsid w:val="009A4059"/>
    <w:rsid w:val="009A47EF"/>
    <w:rsid w:val="009B1979"/>
    <w:rsid w:val="009B1E1B"/>
    <w:rsid w:val="009B2CC0"/>
    <w:rsid w:val="009B4C38"/>
    <w:rsid w:val="009C0DAB"/>
    <w:rsid w:val="009C1E20"/>
    <w:rsid w:val="009D0378"/>
    <w:rsid w:val="009D0F18"/>
    <w:rsid w:val="009D1EFB"/>
    <w:rsid w:val="009D5964"/>
    <w:rsid w:val="009D6A0C"/>
    <w:rsid w:val="009E0725"/>
    <w:rsid w:val="009E1492"/>
    <w:rsid w:val="009E4B3F"/>
    <w:rsid w:val="009E5877"/>
    <w:rsid w:val="009F69B0"/>
    <w:rsid w:val="00A0310D"/>
    <w:rsid w:val="00A073F4"/>
    <w:rsid w:val="00A07BBE"/>
    <w:rsid w:val="00A16439"/>
    <w:rsid w:val="00A21057"/>
    <w:rsid w:val="00A217CE"/>
    <w:rsid w:val="00A21E86"/>
    <w:rsid w:val="00A22DFB"/>
    <w:rsid w:val="00A305E3"/>
    <w:rsid w:val="00A353F1"/>
    <w:rsid w:val="00A357B0"/>
    <w:rsid w:val="00A35B22"/>
    <w:rsid w:val="00A42B99"/>
    <w:rsid w:val="00A479B6"/>
    <w:rsid w:val="00A50D3C"/>
    <w:rsid w:val="00A532E3"/>
    <w:rsid w:val="00A54D9C"/>
    <w:rsid w:val="00A57200"/>
    <w:rsid w:val="00A57865"/>
    <w:rsid w:val="00A62B31"/>
    <w:rsid w:val="00A64850"/>
    <w:rsid w:val="00A65003"/>
    <w:rsid w:val="00A65202"/>
    <w:rsid w:val="00A73299"/>
    <w:rsid w:val="00A7536B"/>
    <w:rsid w:val="00A80356"/>
    <w:rsid w:val="00A816B6"/>
    <w:rsid w:val="00A82D81"/>
    <w:rsid w:val="00A96E79"/>
    <w:rsid w:val="00AA2033"/>
    <w:rsid w:val="00AA4A07"/>
    <w:rsid w:val="00AA6230"/>
    <w:rsid w:val="00AB632D"/>
    <w:rsid w:val="00AC5444"/>
    <w:rsid w:val="00AC70E1"/>
    <w:rsid w:val="00AD1D29"/>
    <w:rsid w:val="00AD328E"/>
    <w:rsid w:val="00AD5147"/>
    <w:rsid w:val="00AE0837"/>
    <w:rsid w:val="00AE11C8"/>
    <w:rsid w:val="00AE355C"/>
    <w:rsid w:val="00AE4EFC"/>
    <w:rsid w:val="00AE5731"/>
    <w:rsid w:val="00AE7127"/>
    <w:rsid w:val="00AF6BA2"/>
    <w:rsid w:val="00AF7801"/>
    <w:rsid w:val="00B019E2"/>
    <w:rsid w:val="00B020ED"/>
    <w:rsid w:val="00B036CB"/>
    <w:rsid w:val="00B130D5"/>
    <w:rsid w:val="00B13566"/>
    <w:rsid w:val="00B13A54"/>
    <w:rsid w:val="00B14220"/>
    <w:rsid w:val="00B16868"/>
    <w:rsid w:val="00B17251"/>
    <w:rsid w:val="00B2159A"/>
    <w:rsid w:val="00B21D32"/>
    <w:rsid w:val="00B313B2"/>
    <w:rsid w:val="00B337AE"/>
    <w:rsid w:val="00B34A43"/>
    <w:rsid w:val="00B36912"/>
    <w:rsid w:val="00B404A0"/>
    <w:rsid w:val="00B4256A"/>
    <w:rsid w:val="00B432AB"/>
    <w:rsid w:val="00B54D75"/>
    <w:rsid w:val="00B60C2A"/>
    <w:rsid w:val="00B65FC0"/>
    <w:rsid w:val="00B707DD"/>
    <w:rsid w:val="00B719F4"/>
    <w:rsid w:val="00B73995"/>
    <w:rsid w:val="00B74DBC"/>
    <w:rsid w:val="00B75E08"/>
    <w:rsid w:val="00B76684"/>
    <w:rsid w:val="00B7698F"/>
    <w:rsid w:val="00B85F5F"/>
    <w:rsid w:val="00B86395"/>
    <w:rsid w:val="00B86E2B"/>
    <w:rsid w:val="00B91DEC"/>
    <w:rsid w:val="00B92A56"/>
    <w:rsid w:val="00B931F8"/>
    <w:rsid w:val="00B95DB0"/>
    <w:rsid w:val="00B9722F"/>
    <w:rsid w:val="00B97741"/>
    <w:rsid w:val="00BA0721"/>
    <w:rsid w:val="00BA1883"/>
    <w:rsid w:val="00BA227D"/>
    <w:rsid w:val="00BA3EFA"/>
    <w:rsid w:val="00BA4C84"/>
    <w:rsid w:val="00BC09FC"/>
    <w:rsid w:val="00BC0DD5"/>
    <w:rsid w:val="00BC60E6"/>
    <w:rsid w:val="00BE66AA"/>
    <w:rsid w:val="00BE73B9"/>
    <w:rsid w:val="00BF444F"/>
    <w:rsid w:val="00BF77F5"/>
    <w:rsid w:val="00C01D8A"/>
    <w:rsid w:val="00C023EF"/>
    <w:rsid w:val="00C15415"/>
    <w:rsid w:val="00C16FE4"/>
    <w:rsid w:val="00C172EB"/>
    <w:rsid w:val="00C22F98"/>
    <w:rsid w:val="00C2363B"/>
    <w:rsid w:val="00C26560"/>
    <w:rsid w:val="00C3062F"/>
    <w:rsid w:val="00C32E7A"/>
    <w:rsid w:val="00C408D9"/>
    <w:rsid w:val="00C42DB9"/>
    <w:rsid w:val="00C447FD"/>
    <w:rsid w:val="00C44B90"/>
    <w:rsid w:val="00C51434"/>
    <w:rsid w:val="00C51743"/>
    <w:rsid w:val="00C51A61"/>
    <w:rsid w:val="00C57393"/>
    <w:rsid w:val="00C64C71"/>
    <w:rsid w:val="00C6528B"/>
    <w:rsid w:val="00C661B3"/>
    <w:rsid w:val="00C70300"/>
    <w:rsid w:val="00C7037D"/>
    <w:rsid w:val="00C70637"/>
    <w:rsid w:val="00C71DC8"/>
    <w:rsid w:val="00C73E69"/>
    <w:rsid w:val="00C74592"/>
    <w:rsid w:val="00C767BA"/>
    <w:rsid w:val="00C8048C"/>
    <w:rsid w:val="00C80C68"/>
    <w:rsid w:val="00C86E9A"/>
    <w:rsid w:val="00C90CE5"/>
    <w:rsid w:val="00C93A3D"/>
    <w:rsid w:val="00C94F0A"/>
    <w:rsid w:val="00CA3203"/>
    <w:rsid w:val="00CA6058"/>
    <w:rsid w:val="00CA6BD1"/>
    <w:rsid w:val="00CB1B1B"/>
    <w:rsid w:val="00CB3E03"/>
    <w:rsid w:val="00CB580D"/>
    <w:rsid w:val="00CB6098"/>
    <w:rsid w:val="00CB623E"/>
    <w:rsid w:val="00CC0BA5"/>
    <w:rsid w:val="00CC1F3E"/>
    <w:rsid w:val="00CC236E"/>
    <w:rsid w:val="00CC2B2A"/>
    <w:rsid w:val="00CC6216"/>
    <w:rsid w:val="00CC6A8D"/>
    <w:rsid w:val="00CC70FA"/>
    <w:rsid w:val="00CD37C3"/>
    <w:rsid w:val="00CD3911"/>
    <w:rsid w:val="00CD48EF"/>
    <w:rsid w:val="00CD4BA1"/>
    <w:rsid w:val="00CD59A6"/>
    <w:rsid w:val="00CE33C1"/>
    <w:rsid w:val="00CE3834"/>
    <w:rsid w:val="00CF148C"/>
    <w:rsid w:val="00CF3D94"/>
    <w:rsid w:val="00CF48A3"/>
    <w:rsid w:val="00CF5081"/>
    <w:rsid w:val="00D058E4"/>
    <w:rsid w:val="00D07178"/>
    <w:rsid w:val="00D11C0B"/>
    <w:rsid w:val="00D11EE9"/>
    <w:rsid w:val="00D13F47"/>
    <w:rsid w:val="00D14E66"/>
    <w:rsid w:val="00D17631"/>
    <w:rsid w:val="00D17CD3"/>
    <w:rsid w:val="00D21B22"/>
    <w:rsid w:val="00D24AEB"/>
    <w:rsid w:val="00D24AFD"/>
    <w:rsid w:val="00D27902"/>
    <w:rsid w:val="00D27984"/>
    <w:rsid w:val="00D31D50"/>
    <w:rsid w:val="00D323E9"/>
    <w:rsid w:val="00D34F5B"/>
    <w:rsid w:val="00D35023"/>
    <w:rsid w:val="00D403B8"/>
    <w:rsid w:val="00D45C1B"/>
    <w:rsid w:val="00D45E14"/>
    <w:rsid w:val="00D51C9A"/>
    <w:rsid w:val="00D5318C"/>
    <w:rsid w:val="00D53371"/>
    <w:rsid w:val="00D53BD5"/>
    <w:rsid w:val="00D55621"/>
    <w:rsid w:val="00D6000E"/>
    <w:rsid w:val="00D713D6"/>
    <w:rsid w:val="00D72DAF"/>
    <w:rsid w:val="00D75BB9"/>
    <w:rsid w:val="00D76276"/>
    <w:rsid w:val="00D77919"/>
    <w:rsid w:val="00D8083C"/>
    <w:rsid w:val="00D85F8D"/>
    <w:rsid w:val="00D87F81"/>
    <w:rsid w:val="00D90E39"/>
    <w:rsid w:val="00D97E89"/>
    <w:rsid w:val="00DA45EE"/>
    <w:rsid w:val="00DA58A3"/>
    <w:rsid w:val="00DB2F5B"/>
    <w:rsid w:val="00DB46CB"/>
    <w:rsid w:val="00DB695F"/>
    <w:rsid w:val="00DC03E7"/>
    <w:rsid w:val="00DC3710"/>
    <w:rsid w:val="00DC3B9E"/>
    <w:rsid w:val="00DC4FB9"/>
    <w:rsid w:val="00DC545F"/>
    <w:rsid w:val="00DC54A9"/>
    <w:rsid w:val="00DC6139"/>
    <w:rsid w:val="00DC6686"/>
    <w:rsid w:val="00DC6D84"/>
    <w:rsid w:val="00DC7F68"/>
    <w:rsid w:val="00DD1D7F"/>
    <w:rsid w:val="00DD360A"/>
    <w:rsid w:val="00DD7F91"/>
    <w:rsid w:val="00DE0985"/>
    <w:rsid w:val="00DE42BF"/>
    <w:rsid w:val="00DE4A1A"/>
    <w:rsid w:val="00DE4E11"/>
    <w:rsid w:val="00DE53FE"/>
    <w:rsid w:val="00DE6ED8"/>
    <w:rsid w:val="00E00A5F"/>
    <w:rsid w:val="00E05D64"/>
    <w:rsid w:val="00E07ABB"/>
    <w:rsid w:val="00E07D8F"/>
    <w:rsid w:val="00E13762"/>
    <w:rsid w:val="00E14E2F"/>
    <w:rsid w:val="00E1552D"/>
    <w:rsid w:val="00E1640B"/>
    <w:rsid w:val="00E317A6"/>
    <w:rsid w:val="00E3190E"/>
    <w:rsid w:val="00E31F05"/>
    <w:rsid w:val="00E32285"/>
    <w:rsid w:val="00E34295"/>
    <w:rsid w:val="00E3667E"/>
    <w:rsid w:val="00E4228D"/>
    <w:rsid w:val="00E4254E"/>
    <w:rsid w:val="00E4608C"/>
    <w:rsid w:val="00E502A2"/>
    <w:rsid w:val="00E521B6"/>
    <w:rsid w:val="00E52931"/>
    <w:rsid w:val="00E53ACE"/>
    <w:rsid w:val="00E5519B"/>
    <w:rsid w:val="00E55FEE"/>
    <w:rsid w:val="00E57BD3"/>
    <w:rsid w:val="00E57D38"/>
    <w:rsid w:val="00E65332"/>
    <w:rsid w:val="00E65F77"/>
    <w:rsid w:val="00E670CD"/>
    <w:rsid w:val="00E67EA9"/>
    <w:rsid w:val="00E7727F"/>
    <w:rsid w:val="00E83519"/>
    <w:rsid w:val="00E91889"/>
    <w:rsid w:val="00E91F0F"/>
    <w:rsid w:val="00E944E2"/>
    <w:rsid w:val="00E95C54"/>
    <w:rsid w:val="00E96103"/>
    <w:rsid w:val="00EA027D"/>
    <w:rsid w:val="00EB22CF"/>
    <w:rsid w:val="00EB3414"/>
    <w:rsid w:val="00EB39DD"/>
    <w:rsid w:val="00EB40E4"/>
    <w:rsid w:val="00EB67BA"/>
    <w:rsid w:val="00EC16F8"/>
    <w:rsid w:val="00EC306F"/>
    <w:rsid w:val="00EC408E"/>
    <w:rsid w:val="00EC41F2"/>
    <w:rsid w:val="00EC4E40"/>
    <w:rsid w:val="00EC4EB3"/>
    <w:rsid w:val="00EC5617"/>
    <w:rsid w:val="00EC7C9E"/>
    <w:rsid w:val="00ED230D"/>
    <w:rsid w:val="00ED2440"/>
    <w:rsid w:val="00EE1C0B"/>
    <w:rsid w:val="00EE59D0"/>
    <w:rsid w:val="00EE7FF3"/>
    <w:rsid w:val="00EF26BF"/>
    <w:rsid w:val="00EF4861"/>
    <w:rsid w:val="00EF50C7"/>
    <w:rsid w:val="00EF5E19"/>
    <w:rsid w:val="00EF779D"/>
    <w:rsid w:val="00EF7E82"/>
    <w:rsid w:val="00F01970"/>
    <w:rsid w:val="00F01B91"/>
    <w:rsid w:val="00F06AF6"/>
    <w:rsid w:val="00F079A5"/>
    <w:rsid w:val="00F07F69"/>
    <w:rsid w:val="00F107F9"/>
    <w:rsid w:val="00F111E0"/>
    <w:rsid w:val="00F117D4"/>
    <w:rsid w:val="00F16475"/>
    <w:rsid w:val="00F22D55"/>
    <w:rsid w:val="00F24A9A"/>
    <w:rsid w:val="00F2592D"/>
    <w:rsid w:val="00F25C5F"/>
    <w:rsid w:val="00F3182D"/>
    <w:rsid w:val="00F34EF2"/>
    <w:rsid w:val="00F3580F"/>
    <w:rsid w:val="00F406BB"/>
    <w:rsid w:val="00F44AD0"/>
    <w:rsid w:val="00F50379"/>
    <w:rsid w:val="00F55102"/>
    <w:rsid w:val="00F57115"/>
    <w:rsid w:val="00F6298B"/>
    <w:rsid w:val="00F63B02"/>
    <w:rsid w:val="00F65350"/>
    <w:rsid w:val="00F65C21"/>
    <w:rsid w:val="00F700A6"/>
    <w:rsid w:val="00F760D1"/>
    <w:rsid w:val="00F8151A"/>
    <w:rsid w:val="00F83788"/>
    <w:rsid w:val="00F84D69"/>
    <w:rsid w:val="00F85054"/>
    <w:rsid w:val="00F87AEF"/>
    <w:rsid w:val="00F87C14"/>
    <w:rsid w:val="00F94F61"/>
    <w:rsid w:val="00FA17B4"/>
    <w:rsid w:val="00FA3581"/>
    <w:rsid w:val="00FB10B8"/>
    <w:rsid w:val="00FB24BA"/>
    <w:rsid w:val="00FB28C8"/>
    <w:rsid w:val="00FB381D"/>
    <w:rsid w:val="00FB6172"/>
    <w:rsid w:val="00FB6492"/>
    <w:rsid w:val="00FC007D"/>
    <w:rsid w:val="00FC131A"/>
    <w:rsid w:val="00FC224A"/>
    <w:rsid w:val="00FC43D6"/>
    <w:rsid w:val="00FD2208"/>
    <w:rsid w:val="00FD2EC4"/>
    <w:rsid w:val="00FD63D3"/>
    <w:rsid w:val="00FD717D"/>
    <w:rsid w:val="00FE44CF"/>
    <w:rsid w:val="00FF1239"/>
    <w:rsid w:val="00FF1AC1"/>
    <w:rsid w:val="00FF5DE3"/>
    <w:rsid w:val="00FF62F7"/>
    <w:rsid w:val="00FF6EAF"/>
    <w:rsid w:val="00FF7408"/>
    <w:rsid w:val="01F65399"/>
    <w:rsid w:val="026A1A9F"/>
    <w:rsid w:val="03226A0E"/>
    <w:rsid w:val="04260169"/>
    <w:rsid w:val="04CC4830"/>
    <w:rsid w:val="050945F2"/>
    <w:rsid w:val="050E4034"/>
    <w:rsid w:val="056F4DC0"/>
    <w:rsid w:val="05F86FA8"/>
    <w:rsid w:val="06174B4A"/>
    <w:rsid w:val="06342461"/>
    <w:rsid w:val="065C2670"/>
    <w:rsid w:val="06677EA2"/>
    <w:rsid w:val="06F06056"/>
    <w:rsid w:val="07021FF9"/>
    <w:rsid w:val="071C7BC7"/>
    <w:rsid w:val="075A67A2"/>
    <w:rsid w:val="0840050B"/>
    <w:rsid w:val="086D38AF"/>
    <w:rsid w:val="08C44882"/>
    <w:rsid w:val="08C94E4D"/>
    <w:rsid w:val="0915227D"/>
    <w:rsid w:val="09164C3B"/>
    <w:rsid w:val="099842FD"/>
    <w:rsid w:val="0A3A2559"/>
    <w:rsid w:val="0A805158"/>
    <w:rsid w:val="0AF87126"/>
    <w:rsid w:val="0B4B1CD9"/>
    <w:rsid w:val="0B9B2EBC"/>
    <w:rsid w:val="0BA309DB"/>
    <w:rsid w:val="0BC90D6D"/>
    <w:rsid w:val="0BCB508B"/>
    <w:rsid w:val="0C070B14"/>
    <w:rsid w:val="0C1A22A8"/>
    <w:rsid w:val="0C26236E"/>
    <w:rsid w:val="0C9306BE"/>
    <w:rsid w:val="0CB05CD1"/>
    <w:rsid w:val="0D1B39E9"/>
    <w:rsid w:val="0DCB2021"/>
    <w:rsid w:val="0E3A01CC"/>
    <w:rsid w:val="0E9172D3"/>
    <w:rsid w:val="0EF1422C"/>
    <w:rsid w:val="0F3B23D4"/>
    <w:rsid w:val="0F3B3DD7"/>
    <w:rsid w:val="107B6AE8"/>
    <w:rsid w:val="11195DC6"/>
    <w:rsid w:val="115A70AD"/>
    <w:rsid w:val="116421D6"/>
    <w:rsid w:val="11EA1B00"/>
    <w:rsid w:val="121F5AC5"/>
    <w:rsid w:val="125037BB"/>
    <w:rsid w:val="12521250"/>
    <w:rsid w:val="12524B60"/>
    <w:rsid w:val="125B2E30"/>
    <w:rsid w:val="12E866AF"/>
    <w:rsid w:val="130C55D8"/>
    <w:rsid w:val="13244A23"/>
    <w:rsid w:val="13EE6B6B"/>
    <w:rsid w:val="1472386E"/>
    <w:rsid w:val="148F0FC6"/>
    <w:rsid w:val="151600A7"/>
    <w:rsid w:val="159F345A"/>
    <w:rsid w:val="15E43EF8"/>
    <w:rsid w:val="16A81136"/>
    <w:rsid w:val="16AC4207"/>
    <w:rsid w:val="178A56FB"/>
    <w:rsid w:val="17A8647B"/>
    <w:rsid w:val="18253B4C"/>
    <w:rsid w:val="190F1674"/>
    <w:rsid w:val="19132D2F"/>
    <w:rsid w:val="19210747"/>
    <w:rsid w:val="196E7CB2"/>
    <w:rsid w:val="198759D2"/>
    <w:rsid w:val="19D72BB5"/>
    <w:rsid w:val="1AD212BF"/>
    <w:rsid w:val="1AF900F3"/>
    <w:rsid w:val="1AFC6A2C"/>
    <w:rsid w:val="1BE0351A"/>
    <w:rsid w:val="1BFB44D4"/>
    <w:rsid w:val="1C120302"/>
    <w:rsid w:val="1C442FCB"/>
    <w:rsid w:val="1C532B00"/>
    <w:rsid w:val="1CCC12C5"/>
    <w:rsid w:val="1D1B1BAD"/>
    <w:rsid w:val="1D401A6B"/>
    <w:rsid w:val="1DCC5DA5"/>
    <w:rsid w:val="1E8A015B"/>
    <w:rsid w:val="1EA00E4A"/>
    <w:rsid w:val="1F4F1109"/>
    <w:rsid w:val="1F6A0646"/>
    <w:rsid w:val="206A0332"/>
    <w:rsid w:val="2091595B"/>
    <w:rsid w:val="20F51AC3"/>
    <w:rsid w:val="21AE6D2F"/>
    <w:rsid w:val="21C21552"/>
    <w:rsid w:val="21C3713A"/>
    <w:rsid w:val="24DA6297"/>
    <w:rsid w:val="252F3CBE"/>
    <w:rsid w:val="26694CDB"/>
    <w:rsid w:val="282C171E"/>
    <w:rsid w:val="2849297F"/>
    <w:rsid w:val="28D64BB4"/>
    <w:rsid w:val="2936596A"/>
    <w:rsid w:val="2997006D"/>
    <w:rsid w:val="29AC5EF0"/>
    <w:rsid w:val="2B040631"/>
    <w:rsid w:val="2B0B5AF1"/>
    <w:rsid w:val="2B793244"/>
    <w:rsid w:val="2C094BA0"/>
    <w:rsid w:val="2C60205D"/>
    <w:rsid w:val="2C8F5C68"/>
    <w:rsid w:val="2CAD317E"/>
    <w:rsid w:val="2CC97424"/>
    <w:rsid w:val="2D2725F0"/>
    <w:rsid w:val="2D345768"/>
    <w:rsid w:val="2D73679B"/>
    <w:rsid w:val="2E994608"/>
    <w:rsid w:val="2E9C375A"/>
    <w:rsid w:val="2EA60EE0"/>
    <w:rsid w:val="2ED8262F"/>
    <w:rsid w:val="2F242CBD"/>
    <w:rsid w:val="2FB34058"/>
    <w:rsid w:val="300C74C4"/>
    <w:rsid w:val="304B3830"/>
    <w:rsid w:val="307D5A91"/>
    <w:rsid w:val="317B20C5"/>
    <w:rsid w:val="32A33E31"/>
    <w:rsid w:val="32D048D8"/>
    <w:rsid w:val="32D3622F"/>
    <w:rsid w:val="32D63CF2"/>
    <w:rsid w:val="32F26097"/>
    <w:rsid w:val="3341799D"/>
    <w:rsid w:val="337A399F"/>
    <w:rsid w:val="337F2EFA"/>
    <w:rsid w:val="339029A7"/>
    <w:rsid w:val="33CC5FD9"/>
    <w:rsid w:val="34697607"/>
    <w:rsid w:val="34DC6FBF"/>
    <w:rsid w:val="352019FA"/>
    <w:rsid w:val="35731520"/>
    <w:rsid w:val="35F436C6"/>
    <w:rsid w:val="36037C49"/>
    <w:rsid w:val="36590DA5"/>
    <w:rsid w:val="36B804EA"/>
    <w:rsid w:val="371766EB"/>
    <w:rsid w:val="3728049C"/>
    <w:rsid w:val="37CD3E9A"/>
    <w:rsid w:val="37D03480"/>
    <w:rsid w:val="37D87189"/>
    <w:rsid w:val="37E87EA7"/>
    <w:rsid w:val="37F761BE"/>
    <w:rsid w:val="380B1A51"/>
    <w:rsid w:val="382056BC"/>
    <w:rsid w:val="38AB6B19"/>
    <w:rsid w:val="39035D73"/>
    <w:rsid w:val="39144BF9"/>
    <w:rsid w:val="39236305"/>
    <w:rsid w:val="397D1814"/>
    <w:rsid w:val="3991694F"/>
    <w:rsid w:val="3A096C45"/>
    <w:rsid w:val="3B3315C9"/>
    <w:rsid w:val="3B3666AA"/>
    <w:rsid w:val="3B5D03F9"/>
    <w:rsid w:val="3B9C69ED"/>
    <w:rsid w:val="3C075E40"/>
    <w:rsid w:val="3C0F314C"/>
    <w:rsid w:val="3C8400FD"/>
    <w:rsid w:val="3C8D5215"/>
    <w:rsid w:val="3CB96E1E"/>
    <w:rsid w:val="3D132AA3"/>
    <w:rsid w:val="3E2A5A13"/>
    <w:rsid w:val="3E6A5C1B"/>
    <w:rsid w:val="3E951BD3"/>
    <w:rsid w:val="3EB91E59"/>
    <w:rsid w:val="3FA23A80"/>
    <w:rsid w:val="3FB75DF9"/>
    <w:rsid w:val="418368ED"/>
    <w:rsid w:val="425C64FC"/>
    <w:rsid w:val="4278675D"/>
    <w:rsid w:val="431F105C"/>
    <w:rsid w:val="43F003B4"/>
    <w:rsid w:val="446458DA"/>
    <w:rsid w:val="446645C4"/>
    <w:rsid w:val="44E00C2F"/>
    <w:rsid w:val="44F12828"/>
    <w:rsid w:val="453F4EE8"/>
    <w:rsid w:val="457E0C0E"/>
    <w:rsid w:val="45A27895"/>
    <w:rsid w:val="4654463C"/>
    <w:rsid w:val="469D1E1F"/>
    <w:rsid w:val="4703453A"/>
    <w:rsid w:val="47401AE3"/>
    <w:rsid w:val="47847F9B"/>
    <w:rsid w:val="47B6276E"/>
    <w:rsid w:val="47D7714D"/>
    <w:rsid w:val="48CA305E"/>
    <w:rsid w:val="491D1161"/>
    <w:rsid w:val="4945471C"/>
    <w:rsid w:val="49C23604"/>
    <w:rsid w:val="4A6500D9"/>
    <w:rsid w:val="4B4D56DB"/>
    <w:rsid w:val="4BCB58DC"/>
    <w:rsid w:val="4BE87F26"/>
    <w:rsid w:val="4C081E20"/>
    <w:rsid w:val="4C3974A1"/>
    <w:rsid w:val="4C4D743A"/>
    <w:rsid w:val="4C561056"/>
    <w:rsid w:val="4CDC25C4"/>
    <w:rsid w:val="4D2A1AAB"/>
    <w:rsid w:val="4DBE15DE"/>
    <w:rsid w:val="4DFF45BC"/>
    <w:rsid w:val="4E61428A"/>
    <w:rsid w:val="4E7B705D"/>
    <w:rsid w:val="4ECB455C"/>
    <w:rsid w:val="4EF16D21"/>
    <w:rsid w:val="4F4E6BEF"/>
    <w:rsid w:val="4F6745C5"/>
    <w:rsid w:val="4F751E54"/>
    <w:rsid w:val="4FA9510C"/>
    <w:rsid w:val="50891C17"/>
    <w:rsid w:val="520E7D39"/>
    <w:rsid w:val="527310FD"/>
    <w:rsid w:val="52C145B3"/>
    <w:rsid w:val="532C19FA"/>
    <w:rsid w:val="536C046F"/>
    <w:rsid w:val="53777260"/>
    <w:rsid w:val="53BD324D"/>
    <w:rsid w:val="53DA3FDB"/>
    <w:rsid w:val="54B52F23"/>
    <w:rsid w:val="559025B5"/>
    <w:rsid w:val="559C0BA0"/>
    <w:rsid w:val="55BE6F35"/>
    <w:rsid w:val="562F4A45"/>
    <w:rsid w:val="56AB5747"/>
    <w:rsid w:val="57466A30"/>
    <w:rsid w:val="57E7750E"/>
    <w:rsid w:val="582C3304"/>
    <w:rsid w:val="583E683E"/>
    <w:rsid w:val="584263FC"/>
    <w:rsid w:val="58AA248A"/>
    <w:rsid w:val="592757C1"/>
    <w:rsid w:val="5A097D45"/>
    <w:rsid w:val="5A232744"/>
    <w:rsid w:val="5A8E433F"/>
    <w:rsid w:val="5ACC5639"/>
    <w:rsid w:val="5AFE0937"/>
    <w:rsid w:val="5B022AFF"/>
    <w:rsid w:val="5B1C238B"/>
    <w:rsid w:val="5BB72396"/>
    <w:rsid w:val="5BDA2541"/>
    <w:rsid w:val="5C8E70AE"/>
    <w:rsid w:val="5C9700DF"/>
    <w:rsid w:val="5CFF5AEE"/>
    <w:rsid w:val="5D5260D6"/>
    <w:rsid w:val="5E4106DA"/>
    <w:rsid w:val="5E4B362D"/>
    <w:rsid w:val="5E4B3828"/>
    <w:rsid w:val="5EC32979"/>
    <w:rsid w:val="5EFC5263"/>
    <w:rsid w:val="5F2B51D9"/>
    <w:rsid w:val="5F37440C"/>
    <w:rsid w:val="609E7926"/>
    <w:rsid w:val="60CC769A"/>
    <w:rsid w:val="60F3280A"/>
    <w:rsid w:val="615A0826"/>
    <w:rsid w:val="616E5025"/>
    <w:rsid w:val="62117B48"/>
    <w:rsid w:val="6233066F"/>
    <w:rsid w:val="625714F8"/>
    <w:rsid w:val="62AF2B34"/>
    <w:rsid w:val="62D7081D"/>
    <w:rsid w:val="63687194"/>
    <w:rsid w:val="638E50BC"/>
    <w:rsid w:val="64D27A6F"/>
    <w:rsid w:val="65765688"/>
    <w:rsid w:val="65A40D91"/>
    <w:rsid w:val="66F55A6B"/>
    <w:rsid w:val="67327F2E"/>
    <w:rsid w:val="674609A7"/>
    <w:rsid w:val="67465B30"/>
    <w:rsid w:val="68082611"/>
    <w:rsid w:val="688C533B"/>
    <w:rsid w:val="692F0DD2"/>
    <w:rsid w:val="692F6DB1"/>
    <w:rsid w:val="696B16A5"/>
    <w:rsid w:val="69772905"/>
    <w:rsid w:val="6A360EF4"/>
    <w:rsid w:val="6A736A2C"/>
    <w:rsid w:val="6AC4173D"/>
    <w:rsid w:val="6B3F6E7C"/>
    <w:rsid w:val="6B4F76A1"/>
    <w:rsid w:val="6BB6746F"/>
    <w:rsid w:val="6BFD03AE"/>
    <w:rsid w:val="6BFF6077"/>
    <w:rsid w:val="6C2308EC"/>
    <w:rsid w:val="6C867767"/>
    <w:rsid w:val="6CA34648"/>
    <w:rsid w:val="6D031FFE"/>
    <w:rsid w:val="6D870368"/>
    <w:rsid w:val="6DEF74D5"/>
    <w:rsid w:val="6E9856D0"/>
    <w:rsid w:val="6EB840FC"/>
    <w:rsid w:val="6EE920DC"/>
    <w:rsid w:val="6F377C99"/>
    <w:rsid w:val="6F7E7DE2"/>
    <w:rsid w:val="6FAA433E"/>
    <w:rsid w:val="704F1D50"/>
    <w:rsid w:val="7062369D"/>
    <w:rsid w:val="70D8666D"/>
    <w:rsid w:val="70F82977"/>
    <w:rsid w:val="711203ED"/>
    <w:rsid w:val="712A76BE"/>
    <w:rsid w:val="716D6D00"/>
    <w:rsid w:val="719901C6"/>
    <w:rsid w:val="71B131C3"/>
    <w:rsid w:val="71CC5821"/>
    <w:rsid w:val="71F26BCA"/>
    <w:rsid w:val="71F331D2"/>
    <w:rsid w:val="720542F1"/>
    <w:rsid w:val="72380013"/>
    <w:rsid w:val="72540D30"/>
    <w:rsid w:val="73426C39"/>
    <w:rsid w:val="73594771"/>
    <w:rsid w:val="740F0E4D"/>
    <w:rsid w:val="7469799F"/>
    <w:rsid w:val="74A66F51"/>
    <w:rsid w:val="74E24705"/>
    <w:rsid w:val="750506F3"/>
    <w:rsid w:val="758944AE"/>
    <w:rsid w:val="758C4507"/>
    <w:rsid w:val="75AA1A6C"/>
    <w:rsid w:val="76C0735A"/>
    <w:rsid w:val="76DE39EB"/>
    <w:rsid w:val="774B42DA"/>
    <w:rsid w:val="77B37A6B"/>
    <w:rsid w:val="77CC2AC5"/>
    <w:rsid w:val="78AC0F28"/>
    <w:rsid w:val="78AD7E4B"/>
    <w:rsid w:val="7922758B"/>
    <w:rsid w:val="79766799"/>
    <w:rsid w:val="79B255D2"/>
    <w:rsid w:val="79B45BBB"/>
    <w:rsid w:val="79D0307E"/>
    <w:rsid w:val="79DE121D"/>
    <w:rsid w:val="79E249A2"/>
    <w:rsid w:val="7A5C7B4D"/>
    <w:rsid w:val="7B1F1C18"/>
    <w:rsid w:val="7B387938"/>
    <w:rsid w:val="7C341C52"/>
    <w:rsid w:val="7D033238"/>
    <w:rsid w:val="7D2F6ABF"/>
    <w:rsid w:val="7D50024E"/>
    <w:rsid w:val="7D637EF4"/>
    <w:rsid w:val="7E341B98"/>
    <w:rsid w:val="7E51328E"/>
    <w:rsid w:val="7F14576E"/>
    <w:rsid w:val="7FB735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semiHidden="0" w:name="heading 4"/>
    <w:lsdException w:qFormat="1" w:uiPriority="0" w:semiHidden="0" w:name="heading 5"/>
    <w:lsdException w:qFormat="1"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31"/>
    <w:qFormat/>
    <w:uiPriority w:val="99"/>
    <w:pPr>
      <w:keepNext/>
      <w:keepLines/>
      <w:adjustRightInd/>
      <w:snapToGrid/>
      <w:spacing w:before="200" w:line="360" w:lineRule="auto"/>
      <w:jc w:val="center"/>
      <w:textAlignment w:val="baseline"/>
      <w:outlineLvl w:val="0"/>
    </w:pPr>
    <w:rPr>
      <w:rFonts w:ascii="Times New Roman" w:hAnsi="Times New Roman" w:eastAsia="黑体" w:cs="Times New Roman"/>
      <w:b/>
      <w:bCs/>
      <w:color w:val="000000"/>
      <w:kern w:val="44"/>
      <w:sz w:val="36"/>
      <w:szCs w:val="44"/>
      <w:u w:color="000000"/>
    </w:rPr>
  </w:style>
  <w:style w:type="paragraph" w:styleId="3">
    <w:name w:val="heading 2"/>
    <w:basedOn w:val="1"/>
    <w:next w:val="1"/>
    <w:link w:val="32"/>
    <w:qFormat/>
    <w:uiPriority w:val="99"/>
    <w:pPr>
      <w:keepNext/>
      <w:keepLines/>
      <w:widowControl w:val="0"/>
      <w:adjustRightInd/>
      <w:snapToGrid/>
      <w:spacing w:before="260" w:after="260" w:line="416" w:lineRule="auto"/>
      <w:jc w:val="both"/>
      <w:outlineLvl w:val="1"/>
    </w:pPr>
    <w:rPr>
      <w:rFonts w:ascii="Arial" w:hAnsi="Arial" w:eastAsia="黑体" w:cs="Times New Roman"/>
      <w:b/>
      <w:bCs/>
      <w:kern w:val="2"/>
      <w:sz w:val="32"/>
      <w:szCs w:val="32"/>
    </w:rPr>
  </w:style>
  <w:style w:type="paragraph" w:styleId="4">
    <w:name w:val="heading 3"/>
    <w:basedOn w:val="1"/>
    <w:next w:val="1"/>
    <w:link w:val="33"/>
    <w:qFormat/>
    <w:uiPriority w:val="99"/>
    <w:pPr>
      <w:keepNext/>
      <w:keepLines/>
      <w:adjustRightInd/>
      <w:snapToGrid/>
      <w:spacing w:before="260" w:after="260" w:line="360" w:lineRule="auto"/>
      <w:textAlignment w:val="baseline"/>
      <w:outlineLvl w:val="2"/>
    </w:pPr>
    <w:rPr>
      <w:rFonts w:ascii="Times New Roman" w:hAnsi="Times New Roman" w:eastAsia="仿宋_GB2312" w:cs="Times New Roman"/>
      <w:b/>
      <w:bCs/>
      <w:sz w:val="30"/>
      <w:szCs w:val="32"/>
      <w:u w:color="000000"/>
    </w:rPr>
  </w:style>
  <w:style w:type="paragraph" w:styleId="5">
    <w:name w:val="heading 4"/>
    <w:basedOn w:val="1"/>
    <w:next w:val="1"/>
    <w:link w:val="34"/>
    <w:unhideWhenUsed/>
    <w:qFormat/>
    <w:uiPriority w:val="0"/>
    <w:pPr>
      <w:keepNext/>
      <w:keepLines/>
      <w:widowControl w:val="0"/>
      <w:adjustRightInd/>
      <w:snapToGrid/>
      <w:spacing w:before="280" w:after="290" w:line="376" w:lineRule="auto"/>
      <w:jc w:val="both"/>
      <w:outlineLvl w:val="3"/>
    </w:pPr>
    <w:rPr>
      <w:rFonts w:asciiTheme="majorHAnsi" w:hAnsiTheme="majorHAnsi" w:eastAsiaTheme="majorEastAsia" w:cstheme="majorBidi"/>
      <w:b/>
      <w:bCs/>
      <w:kern w:val="2"/>
      <w:sz w:val="28"/>
      <w:szCs w:val="28"/>
    </w:rPr>
  </w:style>
  <w:style w:type="paragraph" w:styleId="6">
    <w:name w:val="heading 5"/>
    <w:basedOn w:val="1"/>
    <w:next w:val="1"/>
    <w:link w:val="35"/>
    <w:unhideWhenUsed/>
    <w:qFormat/>
    <w:uiPriority w:val="0"/>
    <w:pPr>
      <w:keepNext/>
      <w:keepLines/>
      <w:widowControl w:val="0"/>
      <w:adjustRightInd/>
      <w:snapToGrid/>
      <w:spacing w:before="280" w:after="290" w:line="376" w:lineRule="auto"/>
      <w:jc w:val="both"/>
      <w:outlineLvl w:val="4"/>
    </w:pPr>
    <w:rPr>
      <w:rFonts w:ascii="Times New Roman" w:hAnsi="Times New Roman" w:eastAsia="宋体" w:cs="Times New Roman"/>
      <w:b/>
      <w:bCs/>
      <w:kern w:val="2"/>
      <w:sz w:val="28"/>
      <w:szCs w:val="28"/>
    </w:rPr>
  </w:style>
  <w:style w:type="paragraph" w:styleId="7">
    <w:name w:val="heading 6"/>
    <w:basedOn w:val="1"/>
    <w:next w:val="1"/>
    <w:link w:val="36"/>
    <w:unhideWhenUsed/>
    <w:qFormat/>
    <w:uiPriority w:val="0"/>
    <w:pPr>
      <w:keepNext/>
      <w:keepLines/>
      <w:widowControl w:val="0"/>
      <w:adjustRightInd/>
      <w:snapToGrid/>
      <w:spacing w:before="240" w:after="64" w:line="320" w:lineRule="auto"/>
      <w:jc w:val="both"/>
      <w:outlineLvl w:val="5"/>
    </w:pPr>
    <w:rPr>
      <w:rFonts w:asciiTheme="majorHAnsi" w:hAnsiTheme="majorHAnsi" w:eastAsiaTheme="majorEastAsia" w:cstheme="majorBidi"/>
      <w:b/>
      <w:bCs/>
      <w:kern w:val="2"/>
      <w:sz w:val="24"/>
      <w:szCs w:val="24"/>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8">
    <w:name w:val="Document Map"/>
    <w:basedOn w:val="1"/>
    <w:link w:val="43"/>
    <w:semiHidden/>
    <w:qFormat/>
    <w:uiPriority w:val="99"/>
    <w:pPr>
      <w:widowControl w:val="0"/>
      <w:shd w:val="clear" w:color="auto" w:fill="000080"/>
      <w:adjustRightInd/>
      <w:snapToGrid/>
      <w:spacing w:after="0"/>
      <w:jc w:val="both"/>
    </w:pPr>
    <w:rPr>
      <w:rFonts w:ascii="Times New Roman" w:hAnsi="Times New Roman" w:eastAsia="宋体" w:cs="Times New Roman"/>
      <w:kern w:val="2"/>
      <w:sz w:val="21"/>
      <w:szCs w:val="24"/>
    </w:rPr>
  </w:style>
  <w:style w:type="paragraph" w:styleId="9">
    <w:name w:val="annotation text"/>
    <w:basedOn w:val="1"/>
    <w:link w:val="41"/>
    <w:unhideWhenUsed/>
    <w:qFormat/>
    <w:uiPriority w:val="99"/>
  </w:style>
  <w:style w:type="paragraph" w:styleId="10">
    <w:name w:val="Body Text"/>
    <w:basedOn w:val="1"/>
    <w:link w:val="44"/>
    <w:qFormat/>
    <w:uiPriority w:val="99"/>
    <w:pPr>
      <w:widowControl w:val="0"/>
      <w:adjustRightInd/>
      <w:snapToGrid/>
      <w:spacing w:after="120"/>
      <w:jc w:val="both"/>
    </w:pPr>
    <w:rPr>
      <w:rFonts w:ascii="Times New Roman" w:hAnsi="Times New Roman" w:eastAsia="宋体" w:cs="Times New Roman"/>
      <w:kern w:val="2"/>
      <w:sz w:val="21"/>
      <w:szCs w:val="24"/>
    </w:rPr>
  </w:style>
  <w:style w:type="paragraph" w:styleId="11">
    <w:name w:val="toc 3"/>
    <w:basedOn w:val="1"/>
    <w:next w:val="1"/>
    <w:qFormat/>
    <w:uiPriority w:val="39"/>
    <w:pPr>
      <w:widowControl w:val="0"/>
      <w:adjustRightInd/>
      <w:snapToGrid/>
      <w:spacing w:after="0"/>
      <w:ind w:left="840" w:leftChars="400"/>
      <w:jc w:val="both"/>
    </w:pPr>
    <w:rPr>
      <w:rFonts w:ascii="Times New Roman" w:hAnsi="Times New Roman" w:eastAsia="宋体" w:cs="Times New Roman"/>
      <w:kern w:val="2"/>
      <w:sz w:val="28"/>
      <w:szCs w:val="24"/>
    </w:rPr>
  </w:style>
  <w:style w:type="paragraph" w:styleId="12">
    <w:name w:val="Plain Text"/>
    <w:basedOn w:val="1"/>
    <w:link w:val="45"/>
    <w:qFormat/>
    <w:uiPriority w:val="99"/>
    <w:pPr>
      <w:adjustRightInd/>
      <w:snapToGrid/>
      <w:spacing w:after="0" w:line="351" w:lineRule="atLeast"/>
      <w:ind w:firstLine="419"/>
      <w:jc w:val="both"/>
      <w:textAlignment w:val="baseline"/>
    </w:pPr>
    <w:rPr>
      <w:rFonts w:ascii="宋体" w:hAnsi="Times New Roman" w:eastAsia="宋体" w:cs="Times New Roman"/>
      <w:color w:val="000000"/>
      <w:sz w:val="21"/>
      <w:szCs w:val="20"/>
      <w:u w:color="000000"/>
    </w:rPr>
  </w:style>
  <w:style w:type="paragraph" w:styleId="13">
    <w:name w:val="Balloon Text"/>
    <w:basedOn w:val="1"/>
    <w:link w:val="46"/>
    <w:qFormat/>
    <w:uiPriority w:val="99"/>
    <w:pPr>
      <w:widowControl w:val="0"/>
      <w:adjustRightInd/>
      <w:snapToGrid/>
      <w:spacing w:after="0"/>
      <w:jc w:val="both"/>
    </w:pPr>
    <w:rPr>
      <w:rFonts w:ascii="Times New Roman" w:hAnsi="Times New Roman" w:eastAsia="宋体" w:cs="Times New Roman"/>
      <w:kern w:val="2"/>
      <w:sz w:val="18"/>
      <w:szCs w:val="18"/>
    </w:rPr>
  </w:style>
  <w:style w:type="paragraph" w:styleId="14">
    <w:name w:val="footer"/>
    <w:basedOn w:val="1"/>
    <w:link w:val="38"/>
    <w:unhideWhenUsed/>
    <w:qFormat/>
    <w:uiPriority w:val="99"/>
    <w:pPr>
      <w:tabs>
        <w:tab w:val="center" w:pos="4153"/>
        <w:tab w:val="right" w:pos="8306"/>
      </w:tabs>
    </w:pPr>
    <w:rPr>
      <w:sz w:val="18"/>
      <w:szCs w:val="18"/>
    </w:rPr>
  </w:style>
  <w:style w:type="paragraph" w:styleId="15">
    <w:name w:val="header"/>
    <w:basedOn w:val="1"/>
    <w:link w:val="37"/>
    <w:unhideWhenUsed/>
    <w:qFormat/>
    <w:uiPriority w:val="99"/>
    <w:pPr>
      <w:pBdr>
        <w:bottom w:val="single" w:color="auto" w:sz="6" w:space="1"/>
      </w:pBdr>
      <w:tabs>
        <w:tab w:val="center" w:pos="4153"/>
        <w:tab w:val="right" w:pos="8306"/>
      </w:tabs>
      <w:jc w:val="center"/>
    </w:pPr>
    <w:rPr>
      <w:sz w:val="18"/>
      <w:szCs w:val="18"/>
    </w:rPr>
  </w:style>
  <w:style w:type="paragraph" w:styleId="16">
    <w:name w:val="toc 1"/>
    <w:basedOn w:val="1"/>
    <w:next w:val="1"/>
    <w:qFormat/>
    <w:uiPriority w:val="39"/>
    <w:pPr>
      <w:widowControl w:val="0"/>
      <w:tabs>
        <w:tab w:val="right" w:leader="dot" w:pos="8777"/>
      </w:tabs>
      <w:adjustRightInd/>
      <w:snapToGrid/>
      <w:spacing w:after="0" w:line="360" w:lineRule="auto"/>
      <w:jc w:val="both"/>
    </w:pPr>
    <w:rPr>
      <w:rFonts w:ascii="Times New Roman" w:hAnsi="Times New Roman" w:eastAsia="黑体" w:cs="Times New Roman"/>
      <w:kern w:val="2"/>
      <w:sz w:val="32"/>
      <w:szCs w:val="32"/>
    </w:rPr>
  </w:style>
  <w:style w:type="paragraph" w:styleId="17">
    <w:name w:val="footnote text"/>
    <w:basedOn w:val="1"/>
    <w:link w:val="47"/>
    <w:qFormat/>
    <w:uiPriority w:val="99"/>
    <w:pPr>
      <w:widowControl w:val="0"/>
      <w:adjustRightInd/>
      <w:spacing w:after="0"/>
    </w:pPr>
    <w:rPr>
      <w:rFonts w:ascii="Times New Roman" w:hAnsi="Times New Roman" w:eastAsia="宋体" w:cs="Times New Roman"/>
      <w:kern w:val="2"/>
      <w:sz w:val="18"/>
      <w:szCs w:val="18"/>
    </w:rPr>
  </w:style>
  <w:style w:type="paragraph" w:styleId="18">
    <w:name w:val="toc 2"/>
    <w:basedOn w:val="1"/>
    <w:next w:val="1"/>
    <w:qFormat/>
    <w:uiPriority w:val="39"/>
    <w:pPr>
      <w:widowControl w:val="0"/>
      <w:adjustRightInd/>
      <w:snapToGrid/>
      <w:spacing w:after="0"/>
      <w:ind w:left="420" w:leftChars="200"/>
      <w:jc w:val="both"/>
    </w:pPr>
    <w:rPr>
      <w:rFonts w:ascii="Times New Roman" w:hAnsi="Times New Roman" w:eastAsia="宋体" w:cs="Times New Roman"/>
      <w:kern w:val="2"/>
      <w:sz w:val="30"/>
      <w:szCs w:val="24"/>
    </w:rPr>
  </w:style>
  <w:style w:type="paragraph" w:styleId="19">
    <w:name w:val="HTML Preformatted"/>
    <w:basedOn w:val="1"/>
    <w:link w:val="48"/>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hAnsi="宋体" w:eastAsia="宋体" w:cs="宋体"/>
      <w:sz w:val="24"/>
      <w:szCs w:val="24"/>
    </w:rPr>
  </w:style>
  <w:style w:type="paragraph" w:styleId="20">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paragraph" w:styleId="21">
    <w:name w:val="Title"/>
    <w:basedOn w:val="1"/>
    <w:next w:val="1"/>
    <w:link w:val="70"/>
    <w:qFormat/>
    <w:uiPriority w:val="0"/>
    <w:pPr>
      <w:widowControl w:val="0"/>
      <w:adjustRightInd/>
      <w:snapToGrid/>
      <w:spacing w:before="240" w:after="60"/>
      <w:jc w:val="center"/>
      <w:outlineLvl w:val="0"/>
    </w:pPr>
    <w:rPr>
      <w:rFonts w:eastAsia="宋体" w:asciiTheme="majorHAnsi" w:hAnsiTheme="majorHAnsi" w:cstheme="majorBidi"/>
      <w:b/>
      <w:bCs/>
      <w:kern w:val="2"/>
      <w:sz w:val="32"/>
      <w:szCs w:val="32"/>
    </w:rPr>
  </w:style>
  <w:style w:type="paragraph" w:styleId="22">
    <w:name w:val="annotation subject"/>
    <w:basedOn w:val="9"/>
    <w:next w:val="9"/>
    <w:link w:val="42"/>
    <w:qFormat/>
    <w:uiPriority w:val="99"/>
    <w:pPr>
      <w:widowControl w:val="0"/>
      <w:adjustRightInd/>
      <w:snapToGrid/>
      <w:spacing w:after="0"/>
    </w:pPr>
    <w:rPr>
      <w:rFonts w:ascii="Times New Roman" w:hAnsi="Times New Roman" w:eastAsia="宋体" w:cs="Times New Roman"/>
      <w:b/>
      <w:bCs/>
      <w:kern w:val="2"/>
      <w:sz w:val="21"/>
      <w:szCs w:val="24"/>
    </w:rPr>
  </w:style>
  <w:style w:type="character" w:styleId="25">
    <w:name w:val="page number"/>
    <w:basedOn w:val="24"/>
    <w:qFormat/>
    <w:uiPriority w:val="99"/>
  </w:style>
  <w:style w:type="character" w:styleId="26">
    <w:name w:val="FollowedHyperlink"/>
    <w:basedOn w:val="24"/>
    <w:unhideWhenUsed/>
    <w:qFormat/>
    <w:uiPriority w:val="99"/>
    <w:rPr>
      <w:color w:val="800080"/>
      <w:u w:val="single"/>
    </w:rPr>
  </w:style>
  <w:style w:type="character" w:styleId="27">
    <w:name w:val="Emphasis"/>
    <w:qFormat/>
    <w:uiPriority w:val="99"/>
    <w:rPr>
      <w:color w:val="CC0000"/>
    </w:rPr>
  </w:style>
  <w:style w:type="character" w:styleId="28">
    <w:name w:val="Hyperlink"/>
    <w:qFormat/>
    <w:uiPriority w:val="99"/>
    <w:rPr>
      <w:color w:val="0000FF"/>
      <w:u w:val="single"/>
    </w:rPr>
  </w:style>
  <w:style w:type="character" w:styleId="29">
    <w:name w:val="annotation reference"/>
    <w:basedOn w:val="24"/>
    <w:qFormat/>
    <w:uiPriority w:val="99"/>
    <w:rPr>
      <w:sz w:val="21"/>
      <w:szCs w:val="21"/>
    </w:rPr>
  </w:style>
  <w:style w:type="character" w:styleId="30">
    <w:name w:val="footnote reference"/>
    <w:basedOn w:val="24"/>
    <w:qFormat/>
    <w:uiPriority w:val="99"/>
    <w:rPr>
      <w:vertAlign w:val="superscript"/>
    </w:rPr>
  </w:style>
  <w:style w:type="character" w:customStyle="1" w:styleId="31">
    <w:name w:val="标题 1 字符"/>
    <w:basedOn w:val="24"/>
    <w:link w:val="2"/>
    <w:qFormat/>
    <w:uiPriority w:val="99"/>
    <w:rPr>
      <w:rFonts w:ascii="Times New Roman" w:hAnsi="Times New Roman" w:eastAsia="黑体" w:cs="Times New Roman"/>
      <w:b/>
      <w:bCs/>
      <w:color w:val="000000"/>
      <w:kern w:val="44"/>
      <w:sz w:val="36"/>
      <w:szCs w:val="44"/>
      <w:u w:color="000000"/>
    </w:rPr>
  </w:style>
  <w:style w:type="character" w:customStyle="1" w:styleId="32">
    <w:name w:val="标题 2 字符"/>
    <w:basedOn w:val="24"/>
    <w:link w:val="3"/>
    <w:qFormat/>
    <w:uiPriority w:val="99"/>
    <w:rPr>
      <w:rFonts w:ascii="Arial" w:hAnsi="Arial" w:eastAsia="黑体" w:cs="Times New Roman"/>
      <w:b/>
      <w:bCs/>
      <w:kern w:val="2"/>
      <w:sz w:val="32"/>
      <w:szCs w:val="32"/>
    </w:rPr>
  </w:style>
  <w:style w:type="character" w:customStyle="1" w:styleId="33">
    <w:name w:val="标题 3 字符"/>
    <w:basedOn w:val="24"/>
    <w:link w:val="4"/>
    <w:qFormat/>
    <w:uiPriority w:val="99"/>
    <w:rPr>
      <w:rFonts w:ascii="Times New Roman" w:hAnsi="Times New Roman" w:eastAsia="仿宋_GB2312" w:cs="Times New Roman"/>
      <w:b/>
      <w:bCs/>
      <w:sz w:val="30"/>
      <w:szCs w:val="32"/>
      <w:u w:color="000000"/>
    </w:rPr>
  </w:style>
  <w:style w:type="character" w:customStyle="1" w:styleId="34">
    <w:name w:val="标题 4 字符"/>
    <w:basedOn w:val="24"/>
    <w:link w:val="5"/>
    <w:qFormat/>
    <w:uiPriority w:val="0"/>
    <w:rPr>
      <w:rFonts w:asciiTheme="majorHAnsi" w:hAnsiTheme="majorHAnsi" w:eastAsiaTheme="majorEastAsia" w:cstheme="majorBidi"/>
      <w:b/>
      <w:bCs/>
      <w:kern w:val="2"/>
      <w:sz w:val="28"/>
      <w:szCs w:val="28"/>
    </w:rPr>
  </w:style>
  <w:style w:type="character" w:customStyle="1" w:styleId="35">
    <w:name w:val="标题 5 字符"/>
    <w:basedOn w:val="24"/>
    <w:link w:val="6"/>
    <w:qFormat/>
    <w:uiPriority w:val="0"/>
    <w:rPr>
      <w:rFonts w:ascii="Times New Roman" w:hAnsi="Times New Roman" w:eastAsia="宋体" w:cs="Times New Roman"/>
      <w:b/>
      <w:bCs/>
      <w:kern w:val="2"/>
      <w:sz w:val="28"/>
      <w:szCs w:val="28"/>
    </w:rPr>
  </w:style>
  <w:style w:type="character" w:customStyle="1" w:styleId="36">
    <w:name w:val="标题 6 字符"/>
    <w:basedOn w:val="24"/>
    <w:link w:val="7"/>
    <w:qFormat/>
    <w:uiPriority w:val="0"/>
    <w:rPr>
      <w:rFonts w:asciiTheme="majorHAnsi" w:hAnsiTheme="majorHAnsi" w:eastAsiaTheme="majorEastAsia" w:cstheme="majorBidi"/>
      <w:b/>
      <w:bCs/>
      <w:kern w:val="2"/>
      <w:sz w:val="24"/>
      <w:szCs w:val="24"/>
    </w:rPr>
  </w:style>
  <w:style w:type="character" w:customStyle="1" w:styleId="37">
    <w:name w:val="页眉 字符"/>
    <w:basedOn w:val="24"/>
    <w:link w:val="15"/>
    <w:qFormat/>
    <w:uiPriority w:val="99"/>
    <w:rPr>
      <w:rFonts w:ascii="Tahoma" w:hAnsi="Tahoma"/>
      <w:sz w:val="18"/>
      <w:szCs w:val="18"/>
    </w:rPr>
  </w:style>
  <w:style w:type="character" w:customStyle="1" w:styleId="38">
    <w:name w:val="页脚 字符"/>
    <w:basedOn w:val="24"/>
    <w:link w:val="14"/>
    <w:qFormat/>
    <w:uiPriority w:val="99"/>
    <w:rPr>
      <w:rFonts w:ascii="Tahoma" w:hAnsi="Tahoma"/>
      <w:sz w:val="18"/>
      <w:szCs w:val="18"/>
    </w:rPr>
  </w:style>
  <w:style w:type="paragraph" w:customStyle="1" w:styleId="39">
    <w:name w:val="标题1"/>
    <w:basedOn w:val="1"/>
    <w:qFormat/>
    <w:uiPriority w:val="0"/>
    <w:pPr>
      <w:widowControl w:val="0"/>
      <w:adjustRightInd/>
      <w:snapToGrid/>
      <w:spacing w:after="0"/>
      <w:ind w:firstLine="640" w:firstLineChars="200"/>
      <w:jc w:val="center"/>
    </w:pPr>
    <w:rPr>
      <w:rFonts w:ascii="Times New Roman" w:hAnsi="Times New Roman" w:eastAsia="黑体" w:cs="Times New Roman"/>
      <w:kern w:val="2"/>
      <w:sz w:val="32"/>
      <w:szCs w:val="21"/>
    </w:rPr>
  </w:style>
  <w:style w:type="paragraph" w:styleId="40">
    <w:name w:val="List Paragraph"/>
    <w:basedOn w:val="1"/>
    <w:qFormat/>
    <w:uiPriority w:val="99"/>
    <w:pPr>
      <w:ind w:firstLine="420" w:firstLineChars="200"/>
    </w:pPr>
  </w:style>
  <w:style w:type="character" w:customStyle="1" w:styleId="41">
    <w:name w:val="批注文字 字符"/>
    <w:basedOn w:val="24"/>
    <w:link w:val="9"/>
    <w:qFormat/>
    <w:uiPriority w:val="99"/>
    <w:rPr>
      <w:rFonts w:ascii="Tahoma" w:hAnsi="Tahoma"/>
    </w:rPr>
  </w:style>
  <w:style w:type="character" w:customStyle="1" w:styleId="42">
    <w:name w:val="批注主题 字符"/>
    <w:basedOn w:val="41"/>
    <w:link w:val="22"/>
    <w:qFormat/>
    <w:uiPriority w:val="99"/>
    <w:rPr>
      <w:rFonts w:ascii="Times New Roman" w:hAnsi="Times New Roman" w:eastAsia="宋体" w:cs="Times New Roman"/>
      <w:b/>
      <w:bCs/>
      <w:kern w:val="2"/>
      <w:sz w:val="21"/>
      <w:szCs w:val="24"/>
    </w:rPr>
  </w:style>
  <w:style w:type="character" w:customStyle="1" w:styleId="43">
    <w:name w:val="文档结构图 字符"/>
    <w:basedOn w:val="24"/>
    <w:link w:val="8"/>
    <w:semiHidden/>
    <w:qFormat/>
    <w:uiPriority w:val="99"/>
    <w:rPr>
      <w:rFonts w:ascii="Times New Roman" w:hAnsi="Times New Roman" w:eastAsia="宋体" w:cs="Times New Roman"/>
      <w:kern w:val="2"/>
      <w:sz w:val="21"/>
      <w:szCs w:val="24"/>
      <w:shd w:val="clear" w:color="auto" w:fill="000080"/>
    </w:rPr>
  </w:style>
  <w:style w:type="character" w:customStyle="1" w:styleId="44">
    <w:name w:val="正文文本 字符"/>
    <w:basedOn w:val="24"/>
    <w:link w:val="10"/>
    <w:qFormat/>
    <w:uiPriority w:val="99"/>
    <w:rPr>
      <w:rFonts w:ascii="Times New Roman" w:hAnsi="Times New Roman" w:eastAsia="宋体" w:cs="Times New Roman"/>
      <w:kern w:val="2"/>
      <w:sz w:val="21"/>
      <w:szCs w:val="24"/>
    </w:rPr>
  </w:style>
  <w:style w:type="character" w:customStyle="1" w:styleId="45">
    <w:name w:val="纯文本 字符"/>
    <w:basedOn w:val="24"/>
    <w:link w:val="12"/>
    <w:qFormat/>
    <w:uiPriority w:val="99"/>
    <w:rPr>
      <w:rFonts w:ascii="宋体" w:hAnsi="Times New Roman" w:eastAsia="宋体" w:cs="Times New Roman"/>
      <w:color w:val="000000"/>
      <w:sz w:val="21"/>
      <w:szCs w:val="20"/>
      <w:u w:color="000000"/>
    </w:rPr>
  </w:style>
  <w:style w:type="character" w:customStyle="1" w:styleId="46">
    <w:name w:val="批注框文本 字符"/>
    <w:basedOn w:val="24"/>
    <w:link w:val="13"/>
    <w:qFormat/>
    <w:uiPriority w:val="99"/>
    <w:rPr>
      <w:rFonts w:ascii="Times New Roman" w:hAnsi="Times New Roman" w:eastAsia="宋体" w:cs="Times New Roman"/>
      <w:kern w:val="2"/>
      <w:sz w:val="18"/>
      <w:szCs w:val="18"/>
    </w:rPr>
  </w:style>
  <w:style w:type="character" w:customStyle="1" w:styleId="47">
    <w:name w:val="脚注文本 字符"/>
    <w:basedOn w:val="24"/>
    <w:link w:val="17"/>
    <w:qFormat/>
    <w:uiPriority w:val="99"/>
    <w:rPr>
      <w:rFonts w:ascii="Times New Roman" w:hAnsi="Times New Roman" w:eastAsia="宋体" w:cs="Times New Roman"/>
      <w:kern w:val="2"/>
      <w:sz w:val="18"/>
      <w:szCs w:val="18"/>
    </w:rPr>
  </w:style>
  <w:style w:type="character" w:customStyle="1" w:styleId="48">
    <w:name w:val="HTML 预设格式 字符"/>
    <w:basedOn w:val="24"/>
    <w:link w:val="19"/>
    <w:qFormat/>
    <w:uiPriority w:val="0"/>
    <w:rPr>
      <w:rFonts w:ascii="宋体" w:hAnsi="宋体" w:eastAsia="宋体" w:cs="宋体"/>
      <w:sz w:val="24"/>
      <w:szCs w:val="24"/>
    </w:rPr>
  </w:style>
  <w:style w:type="paragraph" w:customStyle="1" w:styleId="49">
    <w:name w:val="xl69"/>
    <w:basedOn w:val="1"/>
    <w:qFormat/>
    <w:uiPriority w:val="99"/>
    <w:pPr>
      <w:pBdr>
        <w:top w:val="single" w:color="auto" w:sz="8" w:space="0"/>
        <w:left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0">
    <w:name w:val="xl74"/>
    <w:basedOn w:val="1"/>
    <w:qFormat/>
    <w:uiPriority w:val="99"/>
    <w:pPr>
      <w:pBdr>
        <w:right w:val="single" w:color="auto" w:sz="8" w:space="0"/>
      </w:pBdr>
      <w:adjustRightInd/>
      <w:snapToGrid/>
      <w:spacing w:before="100" w:beforeAutospacing="1" w:after="100" w:afterAutospacing="1"/>
      <w:jc w:val="center"/>
    </w:pPr>
    <w:rPr>
      <w:rFonts w:ascii="宋体" w:hAnsi="宋体" w:eastAsia="宋体" w:cs="宋体"/>
    </w:rPr>
  </w:style>
  <w:style w:type="paragraph" w:customStyle="1" w:styleId="51">
    <w:name w:val="xl70"/>
    <w:basedOn w:val="1"/>
    <w:qFormat/>
    <w:uiPriority w:val="99"/>
    <w:pPr>
      <w:pBdr>
        <w:left w:val="single" w:color="auto" w:sz="8" w:space="0"/>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2">
    <w:name w:val="font7"/>
    <w:basedOn w:val="1"/>
    <w:qFormat/>
    <w:uiPriority w:val="99"/>
    <w:pPr>
      <w:adjustRightInd/>
      <w:snapToGrid/>
      <w:spacing w:before="100" w:beforeAutospacing="1" w:after="100" w:afterAutospacing="1"/>
    </w:pPr>
    <w:rPr>
      <w:rFonts w:ascii="宋体" w:hAnsi="宋体" w:eastAsia="宋体" w:cs="宋体"/>
      <w:color w:val="000000"/>
      <w:sz w:val="24"/>
      <w:szCs w:val="24"/>
    </w:rPr>
  </w:style>
  <w:style w:type="paragraph" w:customStyle="1" w:styleId="53">
    <w:name w:val="xl72"/>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rPr>
  </w:style>
  <w:style w:type="paragraph" w:customStyle="1" w:styleId="54">
    <w:name w:val="xl67"/>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5">
    <w:name w:val="font5"/>
    <w:basedOn w:val="1"/>
    <w:qFormat/>
    <w:uiPriority w:val="99"/>
    <w:pPr>
      <w:adjustRightInd/>
      <w:snapToGrid/>
      <w:spacing w:before="100" w:beforeAutospacing="1" w:after="100" w:afterAutospacing="1"/>
    </w:pPr>
    <w:rPr>
      <w:rFonts w:ascii="宋体" w:hAnsi="宋体" w:eastAsia="宋体" w:cs="宋体"/>
      <w:b/>
      <w:bCs/>
      <w:color w:val="000000"/>
      <w:sz w:val="24"/>
      <w:szCs w:val="24"/>
    </w:rPr>
  </w:style>
  <w:style w:type="paragraph" w:customStyle="1" w:styleId="56">
    <w:name w:val="xl65"/>
    <w:basedOn w:val="1"/>
    <w:qFormat/>
    <w:uiPriority w:val="99"/>
    <w:pPr>
      <w:adjustRightInd/>
      <w:snapToGrid/>
      <w:spacing w:before="100" w:beforeAutospacing="1" w:after="100" w:afterAutospacing="1"/>
    </w:pPr>
    <w:rPr>
      <w:rFonts w:ascii="宋体" w:hAnsi="宋体" w:eastAsia="宋体" w:cs="宋体"/>
      <w:sz w:val="24"/>
      <w:szCs w:val="24"/>
    </w:rPr>
  </w:style>
  <w:style w:type="paragraph" w:customStyle="1" w:styleId="57">
    <w:name w:val="font6"/>
    <w:basedOn w:val="1"/>
    <w:qFormat/>
    <w:uiPriority w:val="99"/>
    <w:pPr>
      <w:adjustRightInd/>
      <w:snapToGrid/>
      <w:spacing w:before="100" w:beforeAutospacing="1" w:after="100" w:afterAutospacing="1"/>
    </w:pPr>
    <w:rPr>
      <w:rFonts w:ascii="宋体" w:hAnsi="宋体" w:eastAsia="宋体" w:cs="宋体"/>
      <w:color w:val="000000"/>
    </w:rPr>
  </w:style>
  <w:style w:type="paragraph" w:customStyle="1" w:styleId="58">
    <w:name w:val="xl75"/>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rPr>
  </w:style>
  <w:style w:type="paragraph" w:customStyle="1" w:styleId="59">
    <w:name w:val="Char Char Char Char Char Char1 Char"/>
    <w:basedOn w:val="1"/>
    <w:qFormat/>
    <w:uiPriority w:val="99"/>
    <w:pPr>
      <w:adjustRightInd/>
      <w:snapToGrid/>
      <w:spacing w:after="160" w:line="240" w:lineRule="exact"/>
    </w:pPr>
    <w:rPr>
      <w:rFonts w:ascii="Times New Roman" w:hAnsi="Times New Roman" w:eastAsia="宋体" w:cs="Times New Roman"/>
      <w:kern w:val="2"/>
      <w:sz w:val="21"/>
      <w:szCs w:val="24"/>
    </w:rPr>
  </w:style>
  <w:style w:type="paragraph" w:customStyle="1" w:styleId="60">
    <w:name w:val="xl68"/>
    <w:basedOn w:val="1"/>
    <w:qFormat/>
    <w:uiPriority w:val="99"/>
    <w:pPr>
      <w:pBdr>
        <w:bottom w:val="single" w:color="auto" w:sz="8" w:space="0"/>
        <w:right w:val="single" w:color="auto" w:sz="8" w:space="0"/>
      </w:pBdr>
      <w:adjustRightInd/>
      <w:snapToGrid/>
      <w:spacing w:before="100" w:beforeAutospacing="1" w:after="100" w:afterAutospacing="1"/>
      <w:jc w:val="center"/>
      <w:textAlignment w:val="top"/>
    </w:pPr>
    <w:rPr>
      <w:rFonts w:ascii="宋体" w:hAnsi="宋体" w:eastAsia="宋体" w:cs="宋体"/>
    </w:rPr>
  </w:style>
  <w:style w:type="paragraph" w:customStyle="1" w:styleId="61">
    <w:name w:val="xl66"/>
    <w:basedOn w:val="1"/>
    <w:qFormat/>
    <w:uiPriority w:val="99"/>
    <w:pPr>
      <w:pBdr>
        <w:top w:val="single" w:color="auto" w:sz="8" w:space="0"/>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62">
    <w:name w:val="xl73"/>
    <w:basedOn w:val="1"/>
    <w:qFormat/>
    <w:uiPriority w:val="99"/>
    <w:pPr>
      <w:pBdr>
        <w:top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63">
    <w:name w:val="xl71"/>
    <w:basedOn w:val="1"/>
    <w:qFormat/>
    <w:uiPriority w:val="99"/>
    <w:pPr>
      <w:pBdr>
        <w:right w:val="single" w:color="auto" w:sz="8" w:space="0"/>
      </w:pBdr>
      <w:adjustRightInd/>
      <w:snapToGrid/>
      <w:spacing w:before="100" w:beforeAutospacing="1" w:after="100" w:afterAutospacing="1"/>
      <w:jc w:val="center"/>
    </w:pPr>
    <w:rPr>
      <w:rFonts w:ascii="宋体" w:hAnsi="宋体" w:eastAsia="宋体" w:cs="宋体"/>
      <w:b/>
      <w:bCs/>
    </w:rPr>
  </w:style>
  <w:style w:type="paragraph" w:customStyle="1" w:styleId="64">
    <w:name w:val="样式 标题 2 + 行距: 固定值 30 磅"/>
    <w:basedOn w:val="3"/>
    <w:qFormat/>
    <w:uiPriority w:val="99"/>
    <w:pPr>
      <w:widowControl/>
      <w:spacing w:line="600" w:lineRule="exact"/>
      <w:jc w:val="left"/>
      <w:textAlignment w:val="baseline"/>
    </w:pPr>
    <w:rPr>
      <w:rFonts w:eastAsia="楷体_GB2312" w:cs="宋体"/>
      <w:color w:val="000000"/>
      <w:kern w:val="0"/>
      <w:szCs w:val="20"/>
      <w:u w:color="000000"/>
    </w:rPr>
  </w:style>
  <w:style w:type="paragraph" w:customStyle="1" w:styleId="65">
    <w:name w:val="列出段落1"/>
    <w:basedOn w:val="1"/>
    <w:qFormat/>
    <w:uiPriority w:val="99"/>
    <w:pPr>
      <w:widowControl w:val="0"/>
      <w:adjustRightInd/>
      <w:snapToGrid/>
      <w:spacing w:after="0"/>
      <w:ind w:firstLine="420" w:firstLineChars="200"/>
      <w:jc w:val="both"/>
    </w:pPr>
    <w:rPr>
      <w:rFonts w:ascii="Times New Roman" w:hAnsi="Times New Roman" w:eastAsia="宋体" w:cs="Times New Roman"/>
      <w:kern w:val="2"/>
      <w:sz w:val="21"/>
      <w:szCs w:val="24"/>
    </w:rPr>
  </w:style>
  <w:style w:type="paragraph" w:customStyle="1" w:styleId="66">
    <w:name w:val="Char Char"/>
    <w:basedOn w:val="1"/>
    <w:qFormat/>
    <w:uiPriority w:val="0"/>
    <w:pPr>
      <w:widowControl w:val="0"/>
      <w:adjustRightInd/>
      <w:snapToGrid/>
      <w:spacing w:after="0"/>
      <w:jc w:val="both"/>
    </w:pPr>
    <w:rPr>
      <w:rFonts w:ascii="Times New Roman" w:hAnsi="Times New Roman" w:eastAsia="宋体" w:cs="Times New Roman"/>
      <w:kern w:val="2"/>
      <w:sz w:val="21"/>
      <w:szCs w:val="24"/>
    </w:rPr>
  </w:style>
  <w:style w:type="paragraph" w:customStyle="1" w:styleId="67">
    <w:name w:val="Char"/>
    <w:basedOn w:val="1"/>
    <w:qFormat/>
    <w:uiPriority w:val="99"/>
    <w:pPr>
      <w:adjustRightInd/>
      <w:snapToGrid/>
      <w:spacing w:after="160" w:line="240" w:lineRule="exact"/>
    </w:pPr>
    <w:rPr>
      <w:rFonts w:ascii="Calibri" w:hAnsi="Calibri" w:eastAsia="宋体" w:cs="Times New Roman"/>
      <w:kern w:val="2"/>
      <w:sz w:val="21"/>
    </w:rPr>
  </w:style>
  <w:style w:type="paragraph" w:customStyle="1" w:styleId="68">
    <w:name w:val="p"/>
    <w:basedOn w:val="1"/>
    <w:qFormat/>
    <w:uiPriority w:val="99"/>
    <w:pPr>
      <w:adjustRightInd/>
      <w:snapToGrid/>
      <w:spacing w:before="100" w:beforeAutospacing="1" w:after="100" w:afterAutospacing="1"/>
    </w:pPr>
    <w:rPr>
      <w:rFonts w:ascii="宋体" w:hAnsi="宋体" w:eastAsia="宋体" w:cs="宋体"/>
      <w:sz w:val="24"/>
      <w:szCs w:val="24"/>
    </w:rPr>
  </w:style>
  <w:style w:type="paragraph" w:customStyle="1" w:styleId="69">
    <w:name w:val="默认段落字体 Para Char Char Char Char"/>
    <w:basedOn w:val="1"/>
    <w:qFormat/>
    <w:uiPriority w:val="99"/>
    <w:pPr>
      <w:widowControl w:val="0"/>
      <w:adjustRightInd/>
      <w:snapToGrid/>
      <w:spacing w:after="0"/>
      <w:jc w:val="both"/>
    </w:pPr>
    <w:rPr>
      <w:rFonts w:ascii="Times New Roman" w:hAnsi="Times New Roman" w:eastAsia="宋体" w:cs="Times New Roman"/>
      <w:sz w:val="21"/>
      <w:szCs w:val="20"/>
      <w:lang w:eastAsia="en-US"/>
    </w:rPr>
  </w:style>
  <w:style w:type="character" w:customStyle="1" w:styleId="70">
    <w:name w:val="标题 字符"/>
    <w:basedOn w:val="24"/>
    <w:link w:val="21"/>
    <w:qFormat/>
    <w:uiPriority w:val="0"/>
    <w:rPr>
      <w:rFonts w:eastAsia="宋体" w:asciiTheme="majorHAnsi" w:hAnsiTheme="majorHAnsi" w:cstheme="majorBidi"/>
      <w:b/>
      <w:bCs/>
      <w:kern w:val="2"/>
      <w:sz w:val="32"/>
      <w:szCs w:val="32"/>
    </w:rPr>
  </w:style>
  <w:style w:type="paragraph" w:customStyle="1" w:styleId="71">
    <w:name w:val="TOC 标题1"/>
    <w:basedOn w:val="2"/>
    <w:next w:val="1"/>
    <w:unhideWhenUsed/>
    <w:qFormat/>
    <w:uiPriority w:val="39"/>
    <w:pPr>
      <w:spacing w:before="480" w:after="0" w:line="276" w:lineRule="auto"/>
      <w:jc w:val="left"/>
      <w:textAlignment w:val="auto"/>
      <w:outlineLvl w:val="9"/>
    </w:pPr>
    <w:rPr>
      <w:rFonts w:asciiTheme="majorHAnsi" w:hAnsiTheme="majorHAnsi" w:eastAsiaTheme="majorEastAsia" w:cstheme="majorBidi"/>
      <w:color w:val="366091" w:themeColor="accent1" w:themeShade="BF"/>
      <w:kern w:val="0"/>
      <w:sz w:val="28"/>
      <w:szCs w:val="28"/>
    </w:rPr>
  </w:style>
  <w:style w:type="character" w:customStyle="1" w:styleId="72">
    <w:name w:val="font01"/>
    <w:basedOn w:val="24"/>
    <w:qFormat/>
    <w:uiPriority w:val="0"/>
    <w:rPr>
      <w:rFonts w:hint="eastAsia" w:ascii="宋体" w:hAnsi="宋体" w:eastAsia="宋体" w:cs="宋体"/>
      <w:b/>
      <w:color w:val="000000"/>
      <w:sz w:val="32"/>
      <w:szCs w:val="32"/>
      <w:u w:val="none"/>
    </w:rPr>
  </w:style>
  <w:style w:type="character" w:customStyle="1" w:styleId="73">
    <w:name w:val="font21"/>
    <w:basedOn w:val="24"/>
    <w:qFormat/>
    <w:uiPriority w:val="0"/>
    <w:rPr>
      <w:rFonts w:hint="default" w:ascii="Times New Roman" w:hAnsi="Times New Roman" w:cs="Times New Roman"/>
      <w:b/>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89532\Desktop\&#24213;&#31295;---&#33258;&#24049;&#30340;.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89532\Desktop\&#24213;&#31295;---&#33258;&#24049;&#30340;.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Users\89532\Desktop\&#24213;&#31295;---&#33258;&#24049;&#30340;.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89532\Desktop\&#24213;&#31295;---&#33258;&#24049;&#3034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sz="1400" b="0">
                <a:latin typeface="仿宋" panose="02010609060101010101" charset="-122"/>
                <a:ea typeface="仿宋" panose="02010609060101010101" charset="-122"/>
                <a:cs typeface="仿宋" panose="02010609060101010101" charset="-122"/>
              </a:rPr>
              <a:t>2021</a:t>
            </a:r>
            <a:r>
              <a:rPr lang="zh-CN" altLang="en-US" sz="1400" b="0">
                <a:latin typeface="仿宋" panose="02010609060101010101" charset="-122"/>
                <a:ea typeface="仿宋" panose="02010609060101010101" charset="-122"/>
                <a:cs typeface="仿宋" panose="02010609060101010101" charset="-122"/>
              </a:rPr>
              <a:t>年决算收入结构图</a:t>
            </a:r>
            <a:endParaRPr lang="zh-CN" altLang="en-US" sz="1400" b="0">
              <a:latin typeface="仿宋" panose="02010609060101010101" charset="-122"/>
              <a:ea typeface="仿宋" panose="02010609060101010101" charset="-122"/>
              <a:cs typeface="仿宋" panose="02010609060101010101" charset="-122"/>
            </a:endParaRPr>
          </a:p>
        </c:rich>
      </c:tx>
      <c:layout>
        <c:manualLayout>
          <c:xMode val="edge"/>
          <c:yMode val="edge"/>
          <c:x val="0.295138888888892"/>
          <c:y val="0.00694444444444448"/>
        </c:manualLayout>
      </c:layout>
      <c:overlay val="0"/>
    </c:title>
    <c:autoTitleDeleted val="0"/>
    <c:plotArea>
      <c:layout>
        <c:manualLayout>
          <c:layoutTarget val="inner"/>
          <c:xMode val="edge"/>
          <c:yMode val="edge"/>
          <c:x val="0.135854768153981"/>
          <c:y val="0.231481481481485"/>
          <c:w val="0.397777777777782"/>
          <c:h val="0.662962962962959"/>
        </c:manualLayout>
      </c:layout>
      <c:pieChart>
        <c:varyColors val="1"/>
        <c:ser>
          <c:idx val="0"/>
          <c:order val="0"/>
          <c:tx>
            <c:strRef>
              <c:f>'[底稿---自己的.xlsx]Sheet1'!$C$3</c:f>
              <c:strCache>
                <c:ptCount val="1"/>
                <c:pt idx="0">
                  <c:v>决算</c:v>
                </c:pt>
              </c:strCache>
            </c:strRef>
          </c:tx>
          <c:explosion val="0"/>
          <c:dPt>
            <c:idx val="0"/>
            <c:bubble3D val="0"/>
          </c:dPt>
          <c:dPt>
            <c:idx val="1"/>
            <c:bubble3D val="0"/>
          </c:dPt>
          <c:dPt>
            <c:idx val="2"/>
            <c:bubble3D val="0"/>
          </c:dPt>
          <c:dPt>
            <c:idx val="3"/>
            <c:bubble3D val="0"/>
          </c:dPt>
          <c:dLbls>
            <c:dLbl>
              <c:idx val="0"/>
              <c:layout>
                <c:manualLayout>
                  <c:x val="-0.139737751531059"/>
                  <c:y val="-0.178139399241762"/>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1"/>
              <c:layout>
                <c:manualLayout>
                  <c:x val="-0.0065094050743657"/>
                  <c:y val="0.0260538786818318"/>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2"/>
              <c:layout>
                <c:manualLayout>
                  <c:x val="-0.0196932414698163"/>
                  <c:y val="-0.0501060804899389"/>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3"/>
              <c:layout>
                <c:manualLayout>
                  <c:x val="0.111039807524059"/>
                  <c:y val="-0.0261030912802566"/>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'[底稿---自己的.xlsx]Sheet1'!$A$4:$A$7</c:f>
              <c:strCache>
                <c:ptCount val="4"/>
                <c:pt idx="0">
                  <c:v>公共安全支出</c:v>
                </c:pt>
                <c:pt idx="1">
                  <c:v>社会保障和就业支出</c:v>
                </c:pt>
                <c:pt idx="2">
                  <c:v>医疗卫生与计划生育支出</c:v>
                </c:pt>
                <c:pt idx="3">
                  <c:v>住房保障支出</c:v>
                </c:pt>
              </c:strCache>
            </c:strRef>
          </c:cat>
          <c:val>
            <c:numRef>
              <c:f>'[底稿---自己的.xlsx]Sheet1'!$C$4:$C$7</c:f>
              <c:numCache>
                <c:formatCode>0.00_ </c:formatCode>
                <c:ptCount val="4"/>
                <c:pt idx="0">
                  <c:v>1124.81</c:v>
                </c:pt>
                <c:pt idx="1">
                  <c:v>105.54</c:v>
                </c:pt>
                <c:pt idx="2">
                  <c:v>23.94</c:v>
                </c:pt>
                <c:pt idx="3">
                  <c:v>45.89</c:v>
                </c:pt>
              </c:numCache>
            </c:numRef>
          </c:val>
        </c:ser>
        <c:dLbls>
          <c:showLegendKey val="0"/>
          <c:showVal val="1"/>
          <c:showCatName val="0"/>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600" b="1" i="0" u="none" strike="noStrike" kern="1200" baseline="0">
                <a:solidFill>
                  <a:schemeClr val="tx1"/>
                </a:solidFill>
                <a:latin typeface="+mn-lt"/>
                <a:ea typeface="+mn-ea"/>
                <a:cs typeface="+mn-cs"/>
              </a:defRPr>
            </a:pPr>
            <a:r>
              <a:rPr lang="en-US" altLang="en-US" sz="1400" b="0" i="0" u="none" strike="noStrike" kern="1200" baseline="0">
                <a:solidFill>
                  <a:sysClr val="windowText" lastClr="000000"/>
                </a:solidFill>
                <a:latin typeface="仿宋" panose="02010609060101010101" charset="-122"/>
                <a:ea typeface="仿宋" panose="02010609060101010101" charset="-122"/>
                <a:cs typeface="仿宋" panose="02010609060101010101" charset="-122"/>
              </a:rPr>
              <a:t>2020</a:t>
            </a:r>
            <a:r>
              <a:rPr lang="zh-CN" altLang="en-US" sz="1400" b="0" i="0" u="none" strike="noStrike" kern="1200" baseline="0">
                <a:solidFill>
                  <a:sysClr val="windowText" lastClr="000000"/>
                </a:solidFill>
                <a:latin typeface="仿宋" panose="02010609060101010101" charset="-122"/>
                <a:ea typeface="仿宋" panose="02010609060101010101" charset="-122"/>
                <a:cs typeface="仿宋" panose="02010609060101010101" charset="-122"/>
              </a:rPr>
              <a:t>年</a:t>
            </a:r>
            <a:r>
              <a:rPr lang="zh-CN" altLang="en-US" sz="1400" b="0">
                <a:latin typeface="仿宋" panose="02010609060101010101" charset="-122"/>
                <a:ea typeface="仿宋" panose="02010609060101010101" charset="-122"/>
                <a:cs typeface="仿宋" panose="02010609060101010101" charset="-122"/>
              </a:rPr>
              <a:t>度预算收入与决算收入对比图</a:t>
            </a:r>
            <a:endParaRPr lang="zh-CN" altLang="en-US" sz="1400" b="0">
              <a:latin typeface="仿宋" panose="02010609060101010101" charset="-122"/>
              <a:ea typeface="仿宋" panose="02010609060101010101" charset="-122"/>
              <a:cs typeface="仿宋" panose="02010609060101010101" charset="-122"/>
            </a:endParaRPr>
          </a:p>
        </c:rich>
      </c:tx>
      <c:layout>
        <c:manualLayout>
          <c:xMode val="edge"/>
          <c:yMode val="edge"/>
          <c:x val="0.186409052606237"/>
          <c:y val="0.00684150513112889"/>
        </c:manualLayout>
      </c:layout>
      <c:overlay val="0"/>
    </c:title>
    <c:autoTitleDeleted val="0"/>
    <c:plotArea>
      <c:layout>
        <c:manualLayout>
          <c:layoutTarget val="inner"/>
          <c:xMode val="edge"/>
          <c:yMode val="edge"/>
          <c:x val="0.159427550004525"/>
          <c:y val="0.174797092671109"/>
          <c:w val="0.684520830835232"/>
          <c:h val="0.388237431859482"/>
        </c:manualLayout>
      </c:layout>
      <c:barChart>
        <c:barDir val="col"/>
        <c:grouping val="clustered"/>
        <c:varyColors val="0"/>
        <c:ser>
          <c:idx val="0"/>
          <c:order val="0"/>
          <c:tx>
            <c:strRef>
              <c:f>'[底稿---自己的.xlsx]Sheet1'!$B$3</c:f>
              <c:strCache>
                <c:ptCount val="1"/>
                <c:pt idx="0">
                  <c:v>预算</c:v>
                </c:pt>
              </c:strCache>
            </c:strRef>
          </c:tx>
          <c:invertIfNegative val="0"/>
          <c:dLbls>
            <c:dLbl>
              <c:idx val="0"/>
              <c:layout>
                <c:manualLayout>
                  <c:x val="-0.0203045685279188"/>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676818950930626"/>
                  <c:y val="-0.076923076923076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35363790186126"/>
                  <c:y val="-0.038461538461538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225606316976875"/>
                  <c:y val="-0.017094017094017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'[底稿---自己的.xlsx]Sheet1'!$A$4:$A$7</c:f>
              <c:strCache>
                <c:ptCount val="4"/>
                <c:pt idx="0">
                  <c:v>公共安全支出</c:v>
                </c:pt>
                <c:pt idx="1">
                  <c:v>社会保障和就业支出</c:v>
                </c:pt>
                <c:pt idx="2">
                  <c:v>医疗卫生与计划生育支出</c:v>
                </c:pt>
                <c:pt idx="3">
                  <c:v>住房保障支出</c:v>
                </c:pt>
              </c:strCache>
            </c:strRef>
          </c:cat>
          <c:val>
            <c:numRef>
              <c:f>'[底稿---自己的.xlsx]Sheet1'!$B$4:$B$7</c:f>
              <c:numCache>
                <c:formatCode>0.00_ </c:formatCode>
                <c:ptCount val="4"/>
                <c:pt idx="0">
                  <c:v>737.43</c:v>
                </c:pt>
                <c:pt idx="1">
                  <c:v>104</c:v>
                </c:pt>
                <c:pt idx="2">
                  <c:v>24.27</c:v>
                </c:pt>
                <c:pt idx="3">
                  <c:v>36.79</c:v>
                </c:pt>
              </c:numCache>
            </c:numRef>
          </c:val>
        </c:ser>
        <c:ser>
          <c:idx val="1"/>
          <c:order val="1"/>
          <c:tx>
            <c:strRef>
              <c:f>'[底稿---自己的.xlsx]Sheet1'!$C$3</c:f>
              <c:strCache>
                <c:ptCount val="1"/>
                <c:pt idx="0">
                  <c:v>决算</c:v>
                </c:pt>
              </c:strCache>
            </c:strRef>
          </c:tx>
          <c:invertIfNegative val="0"/>
          <c:dLbls>
            <c:dLbl>
              <c:idx val="0"/>
              <c:layout>
                <c:manualLayout>
                  <c:x val="0.00225606316976875"/>
                  <c:y val="0.017094017094017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676818950930618"/>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225606316976875"/>
                  <c:y val="0.0128205128205128"/>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'[底稿---自己的.xlsx]Sheet1'!$A$4:$A$7</c:f>
              <c:strCache>
                <c:ptCount val="4"/>
                <c:pt idx="0">
                  <c:v>公共安全支出</c:v>
                </c:pt>
                <c:pt idx="1">
                  <c:v>社会保障和就业支出</c:v>
                </c:pt>
                <c:pt idx="2">
                  <c:v>医疗卫生与计划生育支出</c:v>
                </c:pt>
                <c:pt idx="3">
                  <c:v>住房保障支出</c:v>
                </c:pt>
              </c:strCache>
            </c:strRef>
          </c:cat>
          <c:val>
            <c:numRef>
              <c:f>'[底稿---自己的.xlsx]Sheet1'!$C$4:$C$7</c:f>
              <c:numCache>
                <c:formatCode>0.00_ </c:formatCode>
                <c:ptCount val="4"/>
                <c:pt idx="0">
                  <c:v>1124.81</c:v>
                </c:pt>
                <c:pt idx="1">
                  <c:v>105.54</c:v>
                </c:pt>
                <c:pt idx="2">
                  <c:v>23.94</c:v>
                </c:pt>
                <c:pt idx="3">
                  <c:v>45.89</c:v>
                </c:pt>
              </c:numCache>
            </c:numRef>
          </c:val>
        </c:ser>
        <c:dLbls>
          <c:showLegendKey val="0"/>
          <c:showVal val="1"/>
          <c:showCatName val="0"/>
          <c:showSerName val="0"/>
          <c:showPercent val="0"/>
          <c:showBubbleSize val="0"/>
        </c:dLbls>
        <c:gapWidth val="150"/>
        <c:axId val="157344128"/>
        <c:axId val="157345664"/>
      </c:barChart>
      <c:catAx>
        <c:axId val="157344128"/>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57345664"/>
        <c:crosses val="autoZero"/>
        <c:auto val="1"/>
        <c:lblAlgn val="ctr"/>
        <c:lblOffset val="100"/>
        <c:noMultiLvlLbl val="0"/>
      </c:catAx>
      <c:valAx>
        <c:axId val="157345664"/>
        <c:scaling>
          <c:orientation val="minMax"/>
        </c:scaling>
        <c:delete val="0"/>
        <c:axPos val="l"/>
        <c:majorGridlines>
          <c:spPr>
            <a:ln w="9525" cap="flat" cmpd="sng" algn="ctr">
              <a:solidFill>
                <a:srgbClr val="4F81BD"/>
              </a:solidFill>
              <a:prstDash val="solid"/>
              <a:round/>
            </a:ln>
          </c:spPr>
        </c:majorGridlines>
        <c:numFmt formatCode="0.00_ "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57344128"/>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sz="1400" b="0">
                <a:latin typeface="仿宋" panose="02010609060101010101" charset="-122"/>
                <a:ea typeface="仿宋" panose="02010609060101010101" charset="-122"/>
                <a:cs typeface="仿宋" panose="02010609060101010101" charset="-122"/>
              </a:rPr>
              <a:t>2021</a:t>
            </a:r>
            <a:r>
              <a:rPr lang="zh-CN" altLang="en-US" sz="1400" b="0">
                <a:latin typeface="仿宋" panose="02010609060101010101" charset="-122"/>
                <a:ea typeface="仿宋" panose="02010609060101010101" charset="-122"/>
                <a:cs typeface="仿宋" panose="02010609060101010101" charset="-122"/>
              </a:rPr>
              <a:t>年度决算支出结构图</a:t>
            </a:r>
            <a:endParaRPr lang="zh-CN" altLang="en-US" sz="1400" b="0">
              <a:latin typeface="仿宋" panose="02010609060101010101" charset="-122"/>
              <a:ea typeface="仿宋" panose="02010609060101010101" charset="-122"/>
              <a:cs typeface="仿宋" panose="02010609060101010101" charset="-122"/>
            </a:endParaRPr>
          </a:p>
        </c:rich>
      </c:tx>
      <c:layout>
        <c:manualLayout>
          <c:xMode val="edge"/>
          <c:yMode val="edge"/>
          <c:x val="0.298346055979648"/>
          <c:y val="0.00682593856655289"/>
        </c:manualLayout>
      </c:layout>
      <c:overlay val="0"/>
    </c:title>
    <c:autoTitleDeleted val="0"/>
    <c:plotArea>
      <c:layout>
        <c:manualLayout>
          <c:layoutTarget val="inner"/>
          <c:xMode val="edge"/>
          <c:yMode val="edge"/>
          <c:x val="0.135854768153981"/>
          <c:y val="0.231481481481485"/>
          <c:w val="0.397777777777782"/>
          <c:h val="0.662962962962959"/>
        </c:manualLayout>
      </c:layout>
      <c:pieChart>
        <c:varyColors val="1"/>
        <c:ser>
          <c:idx val="0"/>
          <c:order val="0"/>
          <c:tx>
            <c:strRef>
              <c:f>'[底稿---自己的.xlsx]Sheet1'!$C$3</c:f>
              <c:strCache>
                <c:ptCount val="1"/>
                <c:pt idx="0">
                  <c:v>决算</c:v>
                </c:pt>
              </c:strCache>
            </c:strRef>
          </c:tx>
          <c:explosion val="0"/>
          <c:dPt>
            <c:idx val="0"/>
            <c:bubble3D val="0"/>
          </c:dPt>
          <c:dPt>
            <c:idx val="1"/>
            <c:bubble3D val="0"/>
          </c:dPt>
          <c:dPt>
            <c:idx val="2"/>
            <c:bubble3D val="0"/>
          </c:dPt>
          <c:dPt>
            <c:idx val="3"/>
            <c:bubble3D val="0"/>
          </c:dPt>
          <c:dLbls>
            <c:dLbl>
              <c:idx val="0"/>
              <c:layout>
                <c:manualLayout>
                  <c:x val="-0.139737751531059"/>
                  <c:y val="-0.178139399241762"/>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1"/>
              <c:layout>
                <c:manualLayout>
                  <c:x val="-0.0065094050743657"/>
                  <c:y val="0.0260538786818318"/>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2"/>
              <c:layout>
                <c:manualLayout>
                  <c:x val="-0.0196932414698163"/>
                  <c:y val="-0.0501060804899389"/>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3"/>
              <c:layout>
                <c:manualLayout>
                  <c:x val="0.111039807524059"/>
                  <c:y val="-0.0261030912802566"/>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'[底稿---自己的.xlsx]Sheet1'!$A$4:$A$7</c:f>
              <c:strCache>
                <c:ptCount val="4"/>
                <c:pt idx="0">
                  <c:v>公共安全支出</c:v>
                </c:pt>
                <c:pt idx="1">
                  <c:v>社会保障和就业支出</c:v>
                </c:pt>
                <c:pt idx="2">
                  <c:v>医疗卫生与计划生育支出</c:v>
                </c:pt>
                <c:pt idx="3">
                  <c:v>住房保障支出</c:v>
                </c:pt>
              </c:strCache>
            </c:strRef>
          </c:cat>
          <c:val>
            <c:numRef>
              <c:f>'[底稿---自己的.xlsx]Sheet1'!$C$4:$C$7</c:f>
              <c:numCache>
                <c:formatCode>0.00_ </c:formatCode>
                <c:ptCount val="4"/>
                <c:pt idx="0">
                  <c:v>1189.16</c:v>
                </c:pt>
                <c:pt idx="1">
                  <c:v>105.54</c:v>
                </c:pt>
                <c:pt idx="2">
                  <c:v>23.94</c:v>
                </c:pt>
                <c:pt idx="3">
                  <c:v>45.89</c:v>
                </c:pt>
              </c:numCache>
            </c:numRef>
          </c:val>
        </c:ser>
        <c:dLbls>
          <c:showLegendKey val="0"/>
          <c:showVal val="1"/>
          <c:showCatName val="0"/>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sz="1400" b="0">
                <a:latin typeface="仿宋" panose="02010609060101010101" charset="-122"/>
                <a:ea typeface="仿宋" panose="02010609060101010101" charset="-122"/>
                <a:cs typeface="仿宋" panose="02010609060101010101" charset="-122"/>
              </a:rPr>
              <a:t>2021</a:t>
            </a:r>
            <a:r>
              <a:rPr lang="zh-CN" altLang="en-US" sz="1400" b="0">
                <a:latin typeface="仿宋" panose="02010609060101010101" charset="-122"/>
                <a:ea typeface="仿宋" panose="02010609060101010101" charset="-122"/>
                <a:cs typeface="仿宋" panose="02010609060101010101" charset="-122"/>
              </a:rPr>
              <a:t>年预算支出与决算支出对比图</a:t>
            </a:r>
            <a:endParaRPr lang="zh-CN" altLang="en-US" sz="1400" b="0">
              <a:latin typeface="仿宋" panose="02010609060101010101" charset="-122"/>
              <a:ea typeface="仿宋" panose="02010609060101010101" charset="-122"/>
              <a:cs typeface="仿宋" panose="02010609060101010101" charset="-122"/>
            </a:endParaRPr>
          </a:p>
        </c:rich>
      </c:tx>
      <c:layout>
        <c:manualLayout>
          <c:xMode val="edge"/>
          <c:yMode val="edge"/>
          <c:x val="0.212023186761504"/>
          <c:y val="0.00789265982636148"/>
        </c:manualLayout>
      </c:layout>
      <c:overlay val="0"/>
    </c:title>
    <c:autoTitleDeleted val="0"/>
    <c:plotArea>
      <c:layout>
        <c:manualLayout>
          <c:layoutTarget val="inner"/>
          <c:xMode val="edge"/>
          <c:yMode val="edge"/>
          <c:x val="0.176327804291726"/>
          <c:y val="0.151059495972789"/>
          <c:w val="0.677196941205967"/>
          <c:h val="0.388318863456989"/>
        </c:manualLayout>
      </c:layout>
      <c:barChart>
        <c:barDir val="col"/>
        <c:grouping val="clustered"/>
        <c:varyColors val="0"/>
        <c:ser>
          <c:idx val="0"/>
          <c:order val="0"/>
          <c:tx>
            <c:strRef>
              <c:f>'[底稿---自己的.xlsx]Sheet1'!$B$3</c:f>
              <c:strCache>
                <c:ptCount val="1"/>
                <c:pt idx="0">
                  <c:v>预算</c:v>
                </c:pt>
              </c:strCache>
            </c:strRef>
          </c:tx>
          <c:invertIfNegative val="0"/>
          <c:dLbls>
            <c:dLbl>
              <c:idx val="0"/>
              <c:layout>
                <c:manualLayout>
                  <c:x val="-0.0203045685279188"/>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676818950930626"/>
                  <c:y val="-0.076923076923076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35363790186126"/>
                  <c:y val="-0.038461538461538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225606316976875"/>
                  <c:y val="-0.017094017094017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'[底稿---自己的.xlsx]Sheet1'!$A$4:$A$7</c:f>
              <c:strCache>
                <c:ptCount val="4"/>
                <c:pt idx="0">
                  <c:v>公共安全支出</c:v>
                </c:pt>
                <c:pt idx="1">
                  <c:v>社会保障和就业支出</c:v>
                </c:pt>
                <c:pt idx="2">
                  <c:v>医疗卫生与计划生育支出</c:v>
                </c:pt>
                <c:pt idx="3">
                  <c:v>住房保障支出</c:v>
                </c:pt>
              </c:strCache>
            </c:strRef>
          </c:cat>
          <c:val>
            <c:numRef>
              <c:f>'[底稿---自己的.xlsx]Sheet1'!$B$4:$B$7</c:f>
              <c:numCache>
                <c:formatCode>0.00_ </c:formatCode>
                <c:ptCount val="4"/>
                <c:pt idx="0">
                  <c:v>737.43</c:v>
                </c:pt>
                <c:pt idx="1">
                  <c:v>104</c:v>
                </c:pt>
                <c:pt idx="2">
                  <c:v>24.27</c:v>
                </c:pt>
                <c:pt idx="3">
                  <c:v>36.79</c:v>
                </c:pt>
              </c:numCache>
            </c:numRef>
          </c:val>
        </c:ser>
        <c:ser>
          <c:idx val="1"/>
          <c:order val="1"/>
          <c:tx>
            <c:strRef>
              <c:f>'[底稿---自己的.xlsx]Sheet1'!$C$3</c:f>
              <c:strCache>
                <c:ptCount val="1"/>
                <c:pt idx="0">
                  <c:v>决算</c:v>
                </c:pt>
              </c:strCache>
            </c:strRef>
          </c:tx>
          <c:invertIfNegative val="0"/>
          <c:dLbls>
            <c:dLbl>
              <c:idx val="0"/>
              <c:layout>
                <c:manualLayout>
                  <c:x val="0.00225606316976875"/>
                  <c:y val="0.017094017094017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676818950930618"/>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225606316976875"/>
                  <c:y val="0.0128205128205128"/>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'[底稿---自己的.xlsx]Sheet1'!$A$4:$A$7</c:f>
              <c:strCache>
                <c:ptCount val="4"/>
                <c:pt idx="0">
                  <c:v>公共安全支出</c:v>
                </c:pt>
                <c:pt idx="1">
                  <c:v>社会保障和就业支出</c:v>
                </c:pt>
                <c:pt idx="2">
                  <c:v>医疗卫生与计划生育支出</c:v>
                </c:pt>
                <c:pt idx="3">
                  <c:v>住房保障支出</c:v>
                </c:pt>
              </c:strCache>
            </c:strRef>
          </c:cat>
          <c:val>
            <c:numRef>
              <c:f>'[底稿---自己的.xlsx]Sheet1'!$C$4:$C$7</c:f>
              <c:numCache>
                <c:formatCode>0.00_ </c:formatCode>
                <c:ptCount val="4"/>
                <c:pt idx="0">
                  <c:v>1189.16</c:v>
                </c:pt>
                <c:pt idx="1">
                  <c:v>105.54</c:v>
                </c:pt>
                <c:pt idx="2">
                  <c:v>23.94</c:v>
                </c:pt>
                <c:pt idx="3">
                  <c:v>45.89</c:v>
                </c:pt>
              </c:numCache>
            </c:numRef>
          </c:val>
        </c:ser>
        <c:dLbls>
          <c:showLegendKey val="0"/>
          <c:showVal val="1"/>
          <c:showCatName val="0"/>
          <c:showSerName val="0"/>
          <c:showPercent val="0"/>
          <c:showBubbleSize val="0"/>
        </c:dLbls>
        <c:gapWidth val="150"/>
        <c:axId val="165905536"/>
        <c:axId val="174944640"/>
      </c:barChart>
      <c:catAx>
        <c:axId val="165905536"/>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74944640"/>
        <c:crosses val="autoZero"/>
        <c:auto val="1"/>
        <c:lblAlgn val="ctr"/>
        <c:lblOffset val="100"/>
        <c:noMultiLvlLbl val="0"/>
      </c:catAx>
      <c:valAx>
        <c:axId val="174944640"/>
        <c:scaling>
          <c:orientation val="minMax"/>
        </c:scaling>
        <c:delete val="0"/>
        <c:axPos val="l"/>
        <c:majorGridlines>
          <c:spPr>
            <a:ln w="9525" cap="flat" cmpd="sng" algn="ctr">
              <a:solidFill>
                <a:srgbClr val="4F81BD"/>
              </a:solidFill>
              <a:prstDash val="solid"/>
              <a:round/>
            </a:ln>
          </c:spPr>
        </c:majorGridlines>
        <c:numFmt formatCode="0.00_ "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5905536"/>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0.86294</cdr:x>
      <cdr:y>0.13462</cdr:y>
    </cdr:from>
    <cdr:to>
      <cdr:x>0.99831</cdr:x>
      <cdr:y>0.21474</cdr:y>
    </cdr:to>
    <cdr:sp>
      <cdr:nvSpPr>
        <cdr:cNvPr id="2" name="矩形 1"/>
        <cdr:cNvSpPr/>
      </cdr:nvSpPr>
      <cdr:spPr xmlns:a="http://schemas.openxmlformats.org/drawingml/2006/main">
        <a:xfrm xmlns:a="http://schemas.openxmlformats.org/drawingml/2006/main">
          <a:off x="4857751" y="400050"/>
          <a:ext cx="762000" cy="238125"/>
        </a:xfrm>
        <a:prstGeom xmlns:a="http://schemas.openxmlformats.org/drawingml/2006/main" prst="rect">
          <a:avLst/>
        </a:prstGeom>
      </cdr:spPr>
      <cdr:txBody xmlns:a="http://schemas.openxmlformats.org/drawingml/2006/main">
        <a:bodyPr vert="horz" wrap="square" lIns="45720" tIns="45720" rIns="45720" bIns="45720" rtlCol="0" anchor="t" anchorCtr="0">
          <a:normAutofit/>
        </a:bodyPr>
        <a:lstStyle/>
        <a:p>
          <a:r>
            <a:rPr lang="zh-CN" altLang="en-US" sz="900"/>
            <a:t>单位：万元</a:t>
          </a:r>
          <a:endParaRPr lang="zh-CN" altLang="en-US" sz="900"/>
        </a:p>
      </cdr:txBody>
    </cdr:sp>
  </cdr:relSizeAnchor>
</c:userShapes>
</file>

<file path=word/drawings/drawing2.xml><?xml version="1.0" encoding="utf-8"?>
<c:userShapes xmlns:c="http://schemas.openxmlformats.org/drawingml/2006/chart">
  <cdr:relSizeAnchor xmlns:cdr="http://schemas.openxmlformats.org/drawingml/2006/chartDrawing">
    <cdr:from>
      <cdr:x>0.86294</cdr:x>
      <cdr:y>0.13462</cdr:y>
    </cdr:from>
    <cdr:to>
      <cdr:x>0.99831</cdr:x>
      <cdr:y>0.21474</cdr:y>
    </cdr:to>
    <cdr:sp>
      <cdr:nvSpPr>
        <cdr:cNvPr id="2" name="矩形 1"/>
        <cdr:cNvSpPr/>
      </cdr:nvSpPr>
      <cdr:spPr xmlns:a="http://schemas.openxmlformats.org/drawingml/2006/main">
        <a:xfrm xmlns:a="http://schemas.openxmlformats.org/drawingml/2006/main">
          <a:off x="3608362" y="174387"/>
          <a:ext cx="566046" cy="103787"/>
        </a:xfrm>
        <a:prstGeom xmlns:a="http://schemas.openxmlformats.org/drawingml/2006/main" prst="rect">
          <a:avLst/>
        </a:prstGeom>
      </cdr:spPr>
      <cdr:txBody xmlns:a="http://schemas.openxmlformats.org/drawingml/2006/main">
        <a:bodyPr vert="horz" wrap="square" lIns="45720" tIns="45720" rIns="45720" bIns="45720" rtlCol="0" anchor="t" anchorCtr="0">
          <a:normAutofit/>
        </a:bodyPr>
        <a:lstStyle/>
        <a:p>
          <a:r>
            <a:rPr lang="zh-CN" altLang="en-US" sz="900"/>
            <a:t>单位：万元</a:t>
          </a:r>
          <a:endParaRPr lang="zh-CN" altLang="en-US" sz="900"/>
        </a:p>
      </cdr:txBody>
    </cdr:sp>
  </cdr:relSizeAnchor>
</c:userShapes>
</file>

<file path=word/drawings/drawing3.xml><?xml version="1.0" encoding="utf-8"?>
<c:userShapes xmlns:c="http://schemas.openxmlformats.org/drawingml/2006/chart">
  <cdr:relSizeAnchor xmlns:cdr="http://schemas.openxmlformats.org/drawingml/2006/chartDrawing">
    <cdr:from>
      <cdr:x>0.7875</cdr:x>
      <cdr:y>0.125</cdr:y>
    </cdr:from>
    <cdr:to>
      <cdr:x>0.99375</cdr:x>
      <cdr:y>0.21181</cdr:y>
    </cdr:to>
    <cdr:sp>
      <cdr:nvSpPr>
        <cdr:cNvPr id="2" name="矩形 1"/>
        <cdr:cNvSpPr/>
      </cdr:nvSpPr>
      <cdr:spPr xmlns:a="http://schemas.openxmlformats.org/drawingml/2006/main">
        <a:xfrm xmlns:a="http://schemas.openxmlformats.org/drawingml/2006/main">
          <a:off x="3600451" y="342900"/>
          <a:ext cx="942974" cy="238125"/>
        </a:xfrm>
        <a:prstGeom xmlns:a="http://schemas.openxmlformats.org/drawingml/2006/main" prst="rect">
          <a:avLst/>
        </a:prstGeom>
      </cdr:spPr>
      <cdr:txBody xmlns:a="http://schemas.openxmlformats.org/drawingml/2006/main">
        <a:bodyPr vert="horz" wrap="square" lIns="45720" tIns="45720" rIns="45720" bIns="45720" rtlCol="0" anchor="t" anchorCtr="0">
          <a:normAutofit/>
        </a:bodyPr>
        <a:lstStyle/>
        <a:p>
          <a:r>
            <a:rPr lang="zh-CN" altLang="en-US" sz="1000"/>
            <a:t>单位：万元</a:t>
          </a:r>
          <a:endParaRPr lang="zh-CN" altLang="en-US" sz="1000"/>
        </a:p>
      </cdr:txBody>
    </cdr:sp>
  </cdr:relSizeAnchor>
</c:userShapes>
</file>

<file path=word/drawings/drawing4.xml><?xml version="1.0" encoding="utf-8"?>
<c:userShapes xmlns:c="http://schemas.openxmlformats.org/drawingml/2006/chart">
  <cdr:relSizeAnchor xmlns:cdr="http://schemas.openxmlformats.org/drawingml/2006/chartDrawing">
    <cdr:from>
      <cdr:x>0.7875</cdr:x>
      <cdr:y>0.125</cdr:y>
    </cdr:from>
    <cdr:to>
      <cdr:x>0.99375</cdr:x>
      <cdr:y>0.21181</cdr:y>
    </cdr:to>
    <cdr:sp>
      <cdr:nvSpPr>
        <cdr:cNvPr id="2" name="矩形 1"/>
        <cdr:cNvSpPr/>
      </cdr:nvSpPr>
      <cdr:spPr xmlns:a="http://schemas.openxmlformats.org/drawingml/2006/main">
        <a:xfrm xmlns:a="http://schemas.openxmlformats.org/drawingml/2006/main">
          <a:off x="3600451" y="342900"/>
          <a:ext cx="942974" cy="238125"/>
        </a:xfrm>
        <a:prstGeom xmlns:a="http://schemas.openxmlformats.org/drawingml/2006/main" prst="rect">
          <a:avLst/>
        </a:prstGeom>
      </cdr:spPr>
      <cdr:txBody xmlns:a="http://schemas.openxmlformats.org/drawingml/2006/main">
        <a:bodyPr vert="horz" wrap="square" lIns="45720" tIns="45720" rIns="45720" bIns="45720" rtlCol="0" anchor="t" anchorCtr="0">
          <a:normAutofit/>
        </a:bodyPr>
        <a:lstStyle/>
        <a:p>
          <a:r>
            <a:rPr lang="zh-CN" altLang="en-US" sz="1000"/>
            <a:t>单位：万元</a:t>
          </a:r>
          <a:endParaRPr lang="zh-CN" altLang="en-US" sz="1000"/>
        </a:p>
      </cdr:txBody>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95635-C516-409F-8F36-1848A5B6142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33</Pages>
  <Words>11401</Words>
  <Characters>12314</Characters>
  <Lines>102</Lines>
  <Paragraphs>28</Paragraphs>
  <TotalTime>2</TotalTime>
  <ScaleCrop>false</ScaleCrop>
  <LinksUpToDate>false</LinksUpToDate>
  <CharactersWithSpaces>13132</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2019-11-18T06:52:00Z</dcterms:created>
  <dc:creator>Administrator</dc:creator>
  <cp:lastModifiedBy>119</cp:lastModifiedBy>
  <cp:lastPrinted>2021-07-09T01:47:00Z</cp:lastPrinted>
  <dcterms:modified xsi:type="dcterms:W3CDTF">2022-11-17T09:06:50Z</dcterms:modified>
  <cp:revision>143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7E7588654FC244E380CF99C244D2BB12</vt:lpwstr>
  </property>
</Properties>
</file>