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b/>
          <w:sz w:val="44"/>
          <w:szCs w:val="44"/>
        </w:rPr>
      </w:pPr>
      <w:r>
        <w:rPr>
          <w:rFonts w:hint="eastAsia" w:ascii="宋体" w:hAnsi="宋体" w:eastAsia="宋体"/>
          <w:b/>
          <w:sz w:val="44"/>
          <w:szCs w:val="44"/>
        </w:rPr>
        <w:t>保定市徐水区民宗局</w:t>
      </w:r>
    </w:p>
    <w:p>
      <w:pPr>
        <w:spacing w:line="360" w:lineRule="auto"/>
        <w:jc w:val="center"/>
        <w:rPr>
          <w:rFonts w:ascii="宋体" w:hAnsi="宋体" w:eastAsia="宋体"/>
          <w:b/>
          <w:sz w:val="44"/>
          <w:szCs w:val="44"/>
        </w:rPr>
      </w:pPr>
      <w:r>
        <w:rPr>
          <w:rFonts w:ascii="宋体" w:hAnsi="宋体" w:eastAsia="宋体"/>
          <w:b/>
          <w:sz w:val="44"/>
          <w:szCs w:val="44"/>
        </w:rPr>
        <w:t>2021年</w:t>
      </w:r>
      <w:r>
        <w:rPr>
          <w:rFonts w:hint="eastAsia" w:ascii="宋体" w:hAnsi="宋体" w:eastAsia="宋体"/>
          <w:b/>
          <w:sz w:val="44"/>
          <w:szCs w:val="44"/>
          <w:lang w:eastAsia="zh-CN"/>
        </w:rPr>
        <w:t>单位</w:t>
      </w:r>
      <w:r>
        <w:rPr>
          <w:rFonts w:ascii="宋体" w:hAnsi="宋体" w:eastAsia="宋体"/>
          <w:b/>
          <w:sz w:val="44"/>
          <w:szCs w:val="44"/>
        </w:rPr>
        <w:t>预算公开说明</w:t>
      </w:r>
    </w:p>
    <w:p>
      <w:pPr>
        <w:tabs>
          <w:tab w:val="left" w:pos="5274"/>
        </w:tabs>
        <w:spacing w:line="360" w:lineRule="auto"/>
        <w:ind w:firstLine="640" w:firstLineChars="200"/>
        <w:rPr>
          <w:rFonts w:ascii="仿宋" w:hAnsi="仿宋" w:eastAsia="仿宋"/>
          <w:sz w:val="32"/>
          <w:szCs w:val="32"/>
        </w:rPr>
      </w:pPr>
      <w:r>
        <w:rPr>
          <w:rFonts w:ascii="仿宋" w:hAnsi="仿宋" w:eastAsia="仿宋"/>
          <w:sz w:val="32"/>
          <w:szCs w:val="32"/>
        </w:rPr>
        <w:tab/>
      </w:r>
      <w:bookmarkStart w:id="10" w:name="_GoBack"/>
      <w:bookmarkEnd w:id="10"/>
    </w:p>
    <w:p>
      <w:pPr>
        <w:spacing w:line="360" w:lineRule="auto"/>
        <w:ind w:firstLine="640" w:firstLineChars="200"/>
        <w:rPr>
          <w:rFonts w:ascii="仿宋" w:hAnsi="仿宋" w:eastAsia="仿宋"/>
          <w:sz w:val="32"/>
          <w:szCs w:val="32"/>
        </w:rPr>
      </w:pPr>
      <w:r>
        <w:rPr>
          <w:rFonts w:hint="eastAsia" w:ascii="仿宋" w:hAnsi="仿宋" w:eastAsia="仿宋"/>
          <w:sz w:val="32"/>
          <w:szCs w:val="32"/>
        </w:rPr>
        <w:t>按照《预算法》、《地方预决算公开操作规程》等文件规定，现将我</w:t>
      </w:r>
      <w:r>
        <w:rPr>
          <w:rFonts w:hint="eastAsia" w:ascii="仿宋" w:hAnsi="仿宋" w:eastAsia="仿宋"/>
          <w:sz w:val="32"/>
          <w:szCs w:val="32"/>
          <w:lang w:eastAsia="zh-CN"/>
        </w:rPr>
        <w:t>单位</w:t>
      </w:r>
      <w:r>
        <w:rPr>
          <w:rFonts w:hint="eastAsia" w:ascii="仿宋" w:hAnsi="仿宋" w:eastAsia="仿宋"/>
          <w:sz w:val="32"/>
          <w:szCs w:val="32"/>
        </w:rPr>
        <w:t>预算信息公开如下：</w:t>
      </w:r>
    </w:p>
    <w:p>
      <w:pPr>
        <w:jc w:val="center"/>
        <w:outlineLvl w:val="0"/>
        <w:rPr>
          <w:rFonts w:ascii="方正小标宋_GBK" w:eastAsia="方正小标宋_GBK"/>
          <w:sz w:val="44"/>
        </w:rPr>
      </w:pPr>
      <w:r>
        <w:rPr>
          <w:rFonts w:hint="eastAsia" w:ascii="方正小标宋_GBK" w:eastAsia="方正小标宋_GBK"/>
          <w:sz w:val="44"/>
        </w:rPr>
        <w:t>第一部分</w:t>
      </w:r>
      <w:r>
        <w:rPr>
          <w:rFonts w:ascii="方正小标宋_GBK" w:eastAsia="方正小标宋_GBK"/>
          <w:sz w:val="44"/>
        </w:rPr>
        <w:t>:</w:t>
      </w:r>
      <w:r>
        <w:rPr>
          <w:rFonts w:hint="eastAsia" w:ascii="方正小标宋_GBK" w:eastAsia="方正小标宋_GBK"/>
          <w:sz w:val="44"/>
          <w:lang w:eastAsia="zh-CN"/>
        </w:rPr>
        <w:t>单位</w:t>
      </w:r>
      <w:r>
        <w:rPr>
          <w:rFonts w:ascii="方正小标宋_GBK" w:eastAsia="方正小标宋_GBK"/>
          <w:sz w:val="44"/>
        </w:rPr>
        <w:t>职责及机构设置情况</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一、</w:t>
      </w:r>
      <w:r>
        <w:rPr>
          <w:rFonts w:hint="eastAsia" w:ascii="仿宋" w:hAnsi="仿宋" w:eastAsia="仿宋"/>
          <w:b/>
          <w:sz w:val="32"/>
          <w:szCs w:val="32"/>
          <w:lang w:eastAsia="zh-CN"/>
        </w:rPr>
        <w:t>单位</w:t>
      </w:r>
      <w:r>
        <w:rPr>
          <w:rFonts w:hint="eastAsia" w:ascii="仿宋" w:hAnsi="仿宋" w:eastAsia="仿宋"/>
          <w:b/>
          <w:sz w:val="32"/>
          <w:szCs w:val="32"/>
        </w:rPr>
        <w:t>职责</w:t>
      </w:r>
    </w:p>
    <w:p>
      <w:pPr>
        <w:spacing w:line="500" w:lineRule="exact"/>
        <w:ind w:firstLine="640" w:firstLineChars="200"/>
        <w:jc w:val="left"/>
        <w:rPr>
          <w:rFonts w:ascii="仿宋" w:hAnsi="仿宋" w:eastAsia="仿宋" w:cs="Times New Roman"/>
          <w:sz w:val="32"/>
          <w:szCs w:val="32"/>
        </w:rPr>
      </w:pPr>
      <w:r>
        <w:rPr>
          <w:rFonts w:hint="eastAsia" w:ascii="仿宋" w:hAnsi="仿宋" w:eastAsia="仿宋" w:cs="Times New Roman"/>
          <w:sz w:val="32"/>
          <w:szCs w:val="32"/>
        </w:rPr>
        <w:t>根据《保定市徐水区民族宗教事务局职能配置、内设机构和人员编制规定》，</w:t>
      </w:r>
      <w:r>
        <w:rPr>
          <w:rFonts w:ascii="仿宋" w:hAnsi="仿宋" w:eastAsia="仿宋" w:cs="Times New Roman"/>
          <w:sz w:val="32"/>
          <w:szCs w:val="32"/>
        </w:rPr>
        <w:t xml:space="preserve"> 保定市徐水区民族宗教事务局的主要职责是：</w:t>
      </w:r>
    </w:p>
    <w:p>
      <w:pPr>
        <w:spacing w:line="500" w:lineRule="exact"/>
        <w:ind w:firstLine="640" w:firstLineChars="200"/>
        <w:jc w:val="left"/>
        <w:rPr>
          <w:rFonts w:ascii="仿宋" w:hAnsi="仿宋" w:eastAsia="仿宋" w:cs="Times New Roman"/>
          <w:sz w:val="32"/>
          <w:szCs w:val="32"/>
        </w:rPr>
      </w:pPr>
      <w:r>
        <w:rPr>
          <w:rFonts w:ascii="仿宋" w:hAnsi="仿宋" w:eastAsia="仿宋" w:cs="Times New Roman"/>
          <w:sz w:val="32"/>
          <w:szCs w:val="32"/>
        </w:rPr>
        <w:t>（一）民族事务管理:贯彻执行国家关于少数民族工作的方针政策；协调处理涉及民族关系的有关事宜，监督办理少数民族权益保障事宜；做好少数民族资金的争取工作，帮助少数民族村和特困户解决特殊问题。</w:t>
      </w:r>
      <w:r>
        <w:rPr>
          <w:rFonts w:ascii="仿宋" w:hAnsi="仿宋" w:eastAsia="仿宋" w:cs="Times New Roman"/>
          <w:sz w:val="32"/>
          <w:szCs w:val="32"/>
        </w:rPr>
        <w:tab/>
      </w:r>
    </w:p>
    <w:p>
      <w:pPr>
        <w:spacing w:line="500" w:lineRule="exact"/>
        <w:ind w:firstLine="640" w:firstLineChars="200"/>
        <w:jc w:val="left"/>
        <w:rPr>
          <w:rFonts w:ascii="仿宋" w:hAnsi="仿宋" w:eastAsia="仿宋" w:cs="Times New Roman"/>
          <w:sz w:val="32"/>
          <w:szCs w:val="32"/>
        </w:rPr>
      </w:pPr>
      <w:r>
        <w:rPr>
          <w:rFonts w:ascii="仿宋" w:hAnsi="仿宋" w:eastAsia="仿宋" w:cs="Times New Roman"/>
          <w:sz w:val="32"/>
          <w:szCs w:val="32"/>
        </w:rPr>
        <w:t>（二）宗教事务管理:贯彻执行宣传国家关于宗教工作的方针政策，监督检查宗教活动场所，创建和谐寺观教堂，培训宗教工作干部，对困难宗教教职人员进行补助。</w:t>
      </w:r>
    </w:p>
    <w:p>
      <w:pPr>
        <w:spacing w:line="500" w:lineRule="exact"/>
        <w:ind w:firstLine="640" w:firstLineChars="200"/>
        <w:jc w:val="left"/>
        <w:rPr>
          <w:rFonts w:ascii="仿宋" w:hAnsi="仿宋" w:eastAsia="仿宋" w:cs="Times New Roman"/>
          <w:sz w:val="32"/>
          <w:szCs w:val="32"/>
        </w:rPr>
      </w:pPr>
      <w:r>
        <w:rPr>
          <w:rFonts w:ascii="仿宋" w:hAnsi="仿宋" w:eastAsia="仿宋" w:cs="Times New Roman"/>
          <w:sz w:val="32"/>
          <w:szCs w:val="32"/>
        </w:rPr>
        <w:t>（三）民宗政务管理：开展民族宗教政策和法制宣传教育工作，协助处理民族宗教方面的维稳问题促进民族宗教团结、稳定，妥善处置宗教突发事件、维护宗教界和谐稳定。</w:t>
      </w:r>
    </w:p>
    <w:p>
      <w:pPr>
        <w:spacing w:line="500" w:lineRule="exact"/>
        <w:ind w:firstLine="640" w:firstLineChars="200"/>
        <w:jc w:val="left"/>
        <w:rPr>
          <w:rFonts w:ascii="仿宋" w:hAnsi="仿宋" w:eastAsia="仿宋" w:cs="Times New Roman"/>
          <w:sz w:val="32"/>
          <w:szCs w:val="32"/>
        </w:rPr>
      </w:pPr>
      <w:r>
        <w:rPr>
          <w:rFonts w:ascii="仿宋" w:hAnsi="仿宋" w:eastAsia="仿宋" w:cs="Times New Roman"/>
          <w:sz w:val="32"/>
          <w:szCs w:val="32"/>
        </w:rPr>
        <w:t>（四）承办区政府交办的其他事项。</w:t>
      </w:r>
    </w:p>
    <w:p>
      <w:pPr>
        <w:spacing w:line="500" w:lineRule="exact"/>
        <w:ind w:firstLine="640" w:firstLineChars="200"/>
        <w:jc w:val="left"/>
        <w:rPr>
          <w:rFonts w:ascii="仿宋" w:hAnsi="仿宋" w:eastAsia="仿宋" w:cs="Times New Roman"/>
          <w:sz w:val="32"/>
          <w:szCs w:val="32"/>
        </w:rPr>
      </w:pPr>
      <w:r>
        <w:rPr>
          <w:rFonts w:ascii="仿宋" w:hAnsi="仿宋" w:eastAsia="仿宋" w:cs="Times New Roman"/>
          <w:sz w:val="32"/>
          <w:szCs w:val="32"/>
        </w:rPr>
        <w:t>（五）负责局机关人事、劳资、行政后勤、财务和资产管理工作和民族宗教事务日常工作。</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二、机构设置</w:t>
      </w:r>
    </w:p>
    <w:tbl>
      <w:tblPr>
        <w:tblStyle w:val="5"/>
        <w:tblW w:w="1006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92"/>
        <w:gridCol w:w="2692"/>
        <w:gridCol w:w="1701"/>
        <w:gridCol w:w="1418"/>
        <w:gridCol w:w="326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blHeader/>
          <w:jc w:val="center"/>
        </w:trPr>
        <w:tc>
          <w:tcPr>
            <w:tcW w:w="992" w:type="dxa"/>
            <w:tcBorders>
              <w:top w:val="single" w:color="auto" w:sz="4" w:space="0"/>
              <w:left w:val="single" w:color="auto" w:sz="4" w:space="0"/>
              <w:bottom w:val="single" w:color="auto" w:sz="4" w:space="0"/>
            </w:tcBorders>
            <w:shd w:val="clear" w:color="auto" w:fill="auto"/>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序号</w:t>
            </w:r>
          </w:p>
        </w:tc>
        <w:tc>
          <w:tcPr>
            <w:tcW w:w="2692"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单位名称</w:t>
            </w:r>
          </w:p>
        </w:tc>
        <w:tc>
          <w:tcPr>
            <w:tcW w:w="1701"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单位性质</w:t>
            </w:r>
          </w:p>
        </w:tc>
        <w:tc>
          <w:tcPr>
            <w:tcW w:w="1418"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单位规格</w:t>
            </w:r>
          </w:p>
        </w:tc>
        <w:tc>
          <w:tcPr>
            <w:tcW w:w="3260"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r>
              <w:rPr>
                <w:rFonts w:hint="eastAsia" w:ascii="仿宋_GB2312" w:hAnsi="仿宋" w:eastAsia="仿宋_GB2312"/>
                <w:bCs/>
                <w:sz w:val="24"/>
                <w:szCs w:val="24"/>
              </w:rPr>
              <w:t>1</w:t>
            </w:r>
          </w:p>
        </w:tc>
        <w:tc>
          <w:tcPr>
            <w:tcW w:w="2692" w:type="dxa"/>
            <w:tcBorders>
              <w:bottom w:val="single" w:color="auto" w:sz="4" w:space="0"/>
            </w:tcBorders>
            <w:vAlign w:val="center"/>
          </w:tcPr>
          <w:p>
            <w:pPr>
              <w:rPr>
                <w:rFonts w:hint="eastAsia" w:ascii="仿宋_GB2312" w:hAnsi="仿宋" w:eastAsia="仿宋_GB2312"/>
                <w:bCs/>
                <w:sz w:val="24"/>
                <w:szCs w:val="24"/>
              </w:rPr>
            </w:pPr>
            <w:r>
              <w:rPr>
                <w:rFonts w:hint="eastAsia" w:ascii="仿宋_GB2312" w:hAnsi="仿宋" w:eastAsia="仿宋_GB2312"/>
                <w:bCs/>
                <w:sz w:val="24"/>
                <w:szCs w:val="24"/>
              </w:rPr>
              <w:t xml:space="preserve"> 保定市徐水区民族宗教事务局</w:t>
            </w:r>
          </w:p>
        </w:tc>
        <w:tc>
          <w:tcPr>
            <w:tcW w:w="1701"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行政</w:t>
            </w:r>
          </w:p>
        </w:tc>
        <w:tc>
          <w:tcPr>
            <w:tcW w:w="1418"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正科级</w:t>
            </w:r>
          </w:p>
        </w:tc>
        <w:tc>
          <w:tcPr>
            <w:tcW w:w="3260"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财政拨款</w:t>
            </w:r>
          </w:p>
        </w:tc>
      </w:tr>
    </w:tbl>
    <w:p>
      <w:pPr>
        <w:spacing w:line="360" w:lineRule="auto"/>
        <w:rPr>
          <w:rFonts w:ascii="仿宋" w:hAnsi="仿宋" w:eastAsia="仿宋"/>
          <w:b/>
          <w:sz w:val="32"/>
          <w:szCs w:val="32"/>
        </w:rPr>
      </w:pPr>
    </w:p>
    <w:p>
      <w:pPr>
        <w:jc w:val="center"/>
        <w:outlineLvl w:val="0"/>
        <w:rPr>
          <w:rFonts w:ascii="方正小标宋_GBK" w:eastAsia="方正小标宋_GBK"/>
          <w:sz w:val="44"/>
        </w:rPr>
      </w:pPr>
      <w:r>
        <w:rPr>
          <w:rFonts w:hint="eastAsia" w:ascii="方正小标宋_GBK" w:eastAsia="方正小标宋_GBK"/>
          <w:sz w:val="44"/>
        </w:rPr>
        <w:t>第二部分：</w:t>
      </w:r>
      <w:r>
        <w:rPr>
          <w:rFonts w:hint="eastAsia" w:ascii="方正小标宋_GBK" w:eastAsia="方正小标宋_GBK"/>
          <w:sz w:val="44"/>
          <w:lang w:eastAsia="zh-CN"/>
        </w:rPr>
        <w:t>单位</w:t>
      </w:r>
      <w:r>
        <w:rPr>
          <w:rFonts w:hint="eastAsia" w:ascii="方正小标宋_GBK" w:eastAsia="方正小标宋_GBK"/>
          <w:sz w:val="44"/>
        </w:rPr>
        <w:t>预算安排的总体情况</w:t>
      </w:r>
      <w:r>
        <w:rPr>
          <w:rFonts w:ascii="方正小标宋_GBK" w:eastAsia="方正小标宋_GBK"/>
          <w:sz w:val="44"/>
        </w:rPr>
        <w:t xml:space="preserve"> </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按照预算管理有关规定，目前我区</w:t>
      </w:r>
      <w:r>
        <w:rPr>
          <w:rFonts w:hint="eastAsia" w:ascii="仿宋" w:hAnsi="仿宋" w:eastAsia="仿宋"/>
          <w:sz w:val="32"/>
          <w:szCs w:val="32"/>
          <w:lang w:eastAsia="zh-CN"/>
        </w:rPr>
        <w:t>单位</w:t>
      </w:r>
      <w:r>
        <w:rPr>
          <w:rFonts w:hint="eastAsia" w:ascii="仿宋" w:hAnsi="仿宋" w:eastAsia="仿宋"/>
          <w:sz w:val="32"/>
          <w:szCs w:val="32"/>
        </w:rPr>
        <w:t>预算的编制实行综合预算制度，即全部收入和支出都反映</w:t>
      </w:r>
      <w:r>
        <w:rPr>
          <w:rFonts w:ascii="仿宋" w:hAnsi="仿宋" w:eastAsia="仿宋"/>
          <w:sz w:val="32"/>
          <w:szCs w:val="32"/>
        </w:rPr>
        <w:t>在</w:t>
      </w:r>
      <w:r>
        <w:rPr>
          <w:rFonts w:hint="eastAsia" w:ascii="仿宋" w:hAnsi="仿宋" w:eastAsia="仿宋"/>
          <w:sz w:val="32"/>
          <w:szCs w:val="32"/>
        </w:rPr>
        <w:t>预算中。我</w:t>
      </w:r>
      <w:r>
        <w:rPr>
          <w:rFonts w:hint="eastAsia" w:ascii="仿宋" w:hAnsi="仿宋" w:eastAsia="仿宋"/>
          <w:sz w:val="32"/>
          <w:szCs w:val="32"/>
          <w:lang w:eastAsia="zh-CN"/>
        </w:rPr>
        <w:t>单位</w:t>
      </w:r>
      <w:r>
        <w:rPr>
          <w:rFonts w:hint="eastAsia" w:ascii="仿宋" w:hAnsi="仿宋" w:eastAsia="仿宋"/>
          <w:sz w:val="32"/>
          <w:szCs w:val="32"/>
        </w:rPr>
        <w:t>及所属事业单位的收支包含在</w:t>
      </w:r>
      <w:r>
        <w:rPr>
          <w:rFonts w:hint="eastAsia" w:ascii="仿宋" w:hAnsi="仿宋" w:eastAsia="仿宋"/>
          <w:sz w:val="32"/>
          <w:szCs w:val="32"/>
          <w:lang w:eastAsia="zh-CN"/>
        </w:rPr>
        <w:t>单位</w:t>
      </w:r>
      <w:r>
        <w:rPr>
          <w:rFonts w:hint="eastAsia" w:ascii="仿宋" w:hAnsi="仿宋" w:eastAsia="仿宋"/>
          <w:sz w:val="32"/>
          <w:szCs w:val="32"/>
        </w:rPr>
        <w:t>预算中。</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一、收入说明</w:t>
      </w:r>
    </w:p>
    <w:p>
      <w:pPr>
        <w:spacing w:line="360" w:lineRule="auto"/>
        <w:ind w:firstLine="640" w:firstLineChars="200"/>
        <w:rPr>
          <w:rFonts w:ascii="仿宋" w:hAnsi="仿宋" w:eastAsia="仿宋"/>
          <w:sz w:val="32"/>
          <w:szCs w:val="32"/>
        </w:rPr>
      </w:pPr>
      <w:r>
        <w:rPr>
          <w:rFonts w:ascii="仿宋" w:hAnsi="仿宋" w:eastAsia="仿宋"/>
          <w:sz w:val="32"/>
          <w:szCs w:val="32"/>
        </w:rPr>
        <w:t>2021年预算收入为175.24万元,其中：一般公共预算收入175.24万元。</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二、支出说明</w:t>
      </w:r>
    </w:p>
    <w:p>
      <w:pPr>
        <w:spacing w:line="360" w:lineRule="auto"/>
        <w:ind w:firstLine="640" w:firstLineChars="200"/>
        <w:rPr>
          <w:rFonts w:ascii="仿宋" w:hAnsi="仿宋" w:eastAsia="仿宋"/>
          <w:sz w:val="32"/>
          <w:szCs w:val="32"/>
        </w:rPr>
      </w:pPr>
      <w:r>
        <w:rPr>
          <w:rFonts w:ascii="仿宋" w:hAnsi="仿宋" w:eastAsia="仿宋"/>
          <w:sz w:val="32"/>
          <w:szCs w:val="32"/>
        </w:rPr>
        <w:t>2021年</w:t>
      </w:r>
      <w:r>
        <w:rPr>
          <w:rFonts w:hint="eastAsia" w:ascii="仿宋" w:hAnsi="仿宋" w:eastAsia="仿宋"/>
          <w:sz w:val="32"/>
          <w:szCs w:val="32"/>
          <w:lang w:eastAsia="zh-CN"/>
        </w:rPr>
        <w:t>单位</w:t>
      </w:r>
      <w:r>
        <w:rPr>
          <w:rFonts w:ascii="仿宋" w:hAnsi="仿宋" w:eastAsia="仿宋"/>
          <w:sz w:val="32"/>
          <w:szCs w:val="32"/>
        </w:rPr>
        <w:t>支出预算：175.24万元</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基本支出1</w:t>
      </w:r>
      <w:r>
        <w:rPr>
          <w:rFonts w:ascii="仿宋" w:hAnsi="仿宋" w:eastAsia="仿宋"/>
          <w:sz w:val="32"/>
          <w:szCs w:val="32"/>
        </w:rPr>
        <w:t>68.2</w:t>
      </w:r>
      <w:r>
        <w:rPr>
          <w:rFonts w:hint="eastAsia" w:ascii="仿宋" w:hAnsi="仿宋" w:eastAsia="仿宋"/>
          <w:sz w:val="32"/>
          <w:szCs w:val="32"/>
        </w:rPr>
        <w:t>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其中：人员经费149.22万元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日常公用经费18.98万元</w:t>
      </w:r>
    </w:p>
    <w:p>
      <w:pPr>
        <w:spacing w:line="360" w:lineRule="auto"/>
        <w:ind w:firstLine="640" w:firstLineChars="200"/>
        <w:rPr>
          <w:rFonts w:ascii="仿宋" w:hAnsi="仿宋" w:eastAsia="仿宋"/>
          <w:sz w:val="32"/>
          <w:szCs w:val="32"/>
        </w:rPr>
      </w:pPr>
      <w:r>
        <w:rPr>
          <w:rFonts w:hint="eastAsia" w:ascii="仿宋" w:hAnsi="仿宋" w:eastAsia="仿宋"/>
          <w:sz w:val="32"/>
          <w:szCs w:val="32"/>
        </w:rPr>
        <w:t>项目支出</w:t>
      </w:r>
      <w:r>
        <w:rPr>
          <w:rFonts w:ascii="仿宋" w:hAnsi="仿宋" w:eastAsia="仿宋"/>
          <w:sz w:val="32"/>
          <w:szCs w:val="32"/>
        </w:rPr>
        <w:t xml:space="preserve"> 7.04万元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其中：本级支出7.04万元</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三、比上年增减情况</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本年度预算收支安排1</w:t>
      </w:r>
      <w:r>
        <w:rPr>
          <w:rFonts w:ascii="仿宋" w:hAnsi="仿宋" w:eastAsia="仿宋"/>
          <w:sz w:val="32"/>
          <w:szCs w:val="32"/>
        </w:rPr>
        <w:t>75.24</w:t>
      </w:r>
      <w:r>
        <w:rPr>
          <w:rFonts w:hint="eastAsia" w:ascii="仿宋" w:hAnsi="仿宋" w:eastAsia="仿宋"/>
          <w:sz w:val="32"/>
          <w:szCs w:val="32"/>
        </w:rPr>
        <w:t>万元，较上年</w:t>
      </w:r>
      <w:r>
        <w:rPr>
          <w:rFonts w:ascii="仿宋" w:hAnsi="仿宋" w:eastAsia="仿宋"/>
          <w:sz w:val="32"/>
          <w:szCs w:val="32"/>
        </w:rPr>
        <w:t>减少1.14万元。其中:基本支出减少3.09万元，主要原因是</w:t>
      </w:r>
      <w:r>
        <w:rPr>
          <w:rFonts w:hint="eastAsia" w:ascii="仿宋" w:hAnsi="仿宋" w:eastAsia="仿宋"/>
          <w:sz w:val="32"/>
          <w:szCs w:val="32"/>
        </w:rPr>
        <w:t>人员减少</w:t>
      </w:r>
      <w:r>
        <w:rPr>
          <w:rFonts w:ascii="仿宋" w:hAnsi="仿宋" w:eastAsia="仿宋"/>
          <w:sz w:val="32"/>
          <w:szCs w:val="32"/>
        </w:rPr>
        <w:t>；项目支出增加1.95万元，主要原因是</w:t>
      </w:r>
      <w:r>
        <w:rPr>
          <w:rFonts w:hint="eastAsia" w:ascii="仿宋" w:hAnsi="仿宋" w:eastAsia="仿宋"/>
          <w:sz w:val="32"/>
          <w:szCs w:val="32"/>
        </w:rPr>
        <w:t>根据工作</w:t>
      </w:r>
      <w:r>
        <w:rPr>
          <w:rFonts w:ascii="仿宋" w:hAnsi="仿宋" w:eastAsia="仿宋"/>
          <w:sz w:val="32"/>
          <w:szCs w:val="32"/>
        </w:rPr>
        <w:t>需要。</w:t>
      </w:r>
    </w:p>
    <w:p>
      <w:pPr>
        <w:spacing w:line="360" w:lineRule="auto"/>
        <w:ind w:firstLine="640" w:firstLineChars="200"/>
        <w:rPr>
          <w:rFonts w:ascii="仿宋" w:hAnsi="仿宋" w:eastAsia="仿宋"/>
          <w:sz w:val="32"/>
          <w:szCs w:val="32"/>
        </w:rPr>
      </w:pPr>
    </w:p>
    <w:p>
      <w:pPr>
        <w:jc w:val="center"/>
        <w:outlineLvl w:val="0"/>
        <w:rPr>
          <w:rFonts w:ascii="方正小标宋_GBK" w:eastAsia="方正小标宋_GBK"/>
          <w:sz w:val="44"/>
        </w:rPr>
      </w:pPr>
      <w:r>
        <w:rPr>
          <w:rFonts w:hint="eastAsia" w:ascii="方正小标宋_GBK" w:eastAsia="方正小标宋_GBK"/>
          <w:sz w:val="44"/>
        </w:rPr>
        <w:t>第三部分：机关运行经费安排情况</w:t>
      </w:r>
    </w:p>
    <w:p>
      <w:pPr>
        <w:spacing w:line="360" w:lineRule="auto"/>
        <w:ind w:firstLine="640" w:firstLineChars="200"/>
        <w:rPr>
          <w:rFonts w:ascii="仿宋" w:hAnsi="仿宋" w:eastAsia="仿宋"/>
          <w:b/>
          <w:sz w:val="32"/>
          <w:szCs w:val="32"/>
        </w:rPr>
      </w:pPr>
      <w:r>
        <w:rPr>
          <w:rFonts w:ascii="仿宋" w:hAnsi="仿宋" w:eastAsia="仿宋"/>
          <w:sz w:val="32"/>
          <w:szCs w:val="32"/>
        </w:rPr>
        <w:t>2021年我</w:t>
      </w:r>
      <w:r>
        <w:rPr>
          <w:rFonts w:hint="eastAsia" w:ascii="仿宋" w:hAnsi="仿宋" w:eastAsia="仿宋"/>
          <w:sz w:val="32"/>
          <w:szCs w:val="32"/>
          <w:lang w:eastAsia="zh-CN"/>
        </w:rPr>
        <w:t>单位</w:t>
      </w:r>
      <w:r>
        <w:rPr>
          <w:rFonts w:ascii="仿宋" w:hAnsi="仿宋" w:eastAsia="仿宋"/>
          <w:sz w:val="32"/>
          <w:szCs w:val="32"/>
        </w:rPr>
        <w:t>机关运行经费安排18.98万元，其中办公费2.4万元，邮电费4.7万元，工会经费、福利费2.41万元，公务用车运行维护费2.7万元</w:t>
      </w:r>
      <w:r>
        <w:rPr>
          <w:rFonts w:hint="eastAsia" w:ascii="仿宋" w:hAnsi="仿宋" w:eastAsia="仿宋"/>
          <w:sz w:val="32"/>
          <w:szCs w:val="32"/>
        </w:rPr>
        <w:t>，</w:t>
      </w:r>
      <w:r>
        <w:rPr>
          <w:rFonts w:ascii="仿宋" w:hAnsi="仿宋" w:eastAsia="仿宋"/>
          <w:sz w:val="32"/>
          <w:szCs w:val="32"/>
        </w:rPr>
        <w:t>其他支出6.77万元。</w:t>
      </w:r>
    </w:p>
    <w:p>
      <w:pPr>
        <w:spacing w:line="360" w:lineRule="auto"/>
        <w:jc w:val="center"/>
        <w:rPr>
          <w:rFonts w:ascii="黑体" w:hAnsi="黑体" w:eastAsia="黑体" w:cs="Times New Roman"/>
          <w:sz w:val="32"/>
          <w:szCs w:val="32"/>
        </w:rPr>
      </w:pPr>
    </w:p>
    <w:p>
      <w:pPr>
        <w:spacing w:line="360" w:lineRule="auto"/>
        <w:jc w:val="center"/>
        <w:rPr>
          <w:rFonts w:ascii="黑体" w:hAnsi="黑体" w:eastAsia="黑体" w:cs="Times New Roman"/>
          <w:sz w:val="32"/>
          <w:szCs w:val="32"/>
        </w:rPr>
      </w:pPr>
    </w:p>
    <w:p>
      <w:pPr>
        <w:jc w:val="center"/>
        <w:outlineLvl w:val="0"/>
        <w:rPr>
          <w:rFonts w:ascii="方正小标宋_GBK" w:eastAsia="方正小标宋_GBK"/>
          <w:sz w:val="44"/>
        </w:rPr>
      </w:pPr>
    </w:p>
    <w:p>
      <w:pPr>
        <w:jc w:val="center"/>
        <w:outlineLvl w:val="0"/>
        <w:rPr>
          <w:rFonts w:ascii="方正小标宋_GBK" w:eastAsia="方正小标宋_GBK"/>
          <w:sz w:val="44"/>
        </w:rPr>
      </w:pPr>
      <w:r>
        <w:rPr>
          <w:rFonts w:hint="eastAsia" w:ascii="方正小标宋_GBK" w:eastAsia="方正小标宋_GBK"/>
          <w:sz w:val="44"/>
        </w:rPr>
        <w:t>第四部分：财政拨款“三公”经费预算情况及增减变化原因</w:t>
      </w:r>
    </w:p>
    <w:tbl>
      <w:tblPr>
        <w:tblStyle w:val="5"/>
        <w:tblW w:w="5000" w:type="pct"/>
        <w:tblInd w:w="0" w:type="dxa"/>
        <w:tblLayout w:type="autofit"/>
        <w:tblCellMar>
          <w:top w:w="0" w:type="dxa"/>
          <w:left w:w="108" w:type="dxa"/>
          <w:bottom w:w="0" w:type="dxa"/>
          <w:right w:w="108" w:type="dxa"/>
        </w:tblCellMar>
      </w:tblPr>
      <w:tblGrid>
        <w:gridCol w:w="9515"/>
      </w:tblGrid>
      <w:tr>
        <w:tblPrEx>
          <w:tblCellMar>
            <w:top w:w="0" w:type="dxa"/>
            <w:left w:w="108" w:type="dxa"/>
            <w:bottom w:w="0" w:type="dxa"/>
            <w:right w:w="108" w:type="dxa"/>
          </w:tblCellMar>
        </w:tblPrEx>
        <w:trPr>
          <w:trHeight w:val="405" w:hRule="atLeast"/>
        </w:trPr>
        <w:tc>
          <w:tcPr>
            <w:tcW w:w="5000" w:type="pct"/>
            <w:tcBorders>
              <w:top w:val="nil"/>
              <w:left w:val="nil"/>
              <w:bottom w:val="nil"/>
              <w:right w:val="nil"/>
            </w:tcBorders>
            <w:shd w:val="clear" w:color="auto" w:fill="auto"/>
            <w:noWrap/>
            <w:vAlign w:val="center"/>
          </w:tcPr>
          <w:tbl>
            <w:tblPr>
              <w:tblStyle w:val="5"/>
              <w:tblW w:w="0" w:type="auto"/>
              <w:jc w:val="center"/>
              <w:tblLayout w:type="autofit"/>
              <w:tblCellMar>
                <w:top w:w="0" w:type="dxa"/>
                <w:left w:w="108" w:type="dxa"/>
                <w:bottom w:w="0" w:type="dxa"/>
                <w:right w:w="108" w:type="dxa"/>
              </w:tblCellMar>
            </w:tblPr>
            <w:tblGrid>
              <w:gridCol w:w="2163"/>
              <w:gridCol w:w="1276"/>
              <w:gridCol w:w="1418"/>
              <w:gridCol w:w="836"/>
              <w:gridCol w:w="2397"/>
            </w:tblGrid>
            <w:tr>
              <w:tblPrEx>
                <w:tblCellMar>
                  <w:top w:w="0" w:type="dxa"/>
                  <w:left w:w="108" w:type="dxa"/>
                  <w:bottom w:w="0" w:type="dxa"/>
                  <w:right w:w="108" w:type="dxa"/>
                </w:tblCellMar>
              </w:tblPrEx>
              <w:trPr>
                <w:trHeight w:val="405" w:hRule="atLeast"/>
                <w:jc w:val="center"/>
              </w:trPr>
              <w:tc>
                <w:tcPr>
                  <w:tcW w:w="8090" w:type="dxa"/>
                  <w:gridSpan w:val="5"/>
                  <w:tcBorders>
                    <w:top w:val="nil"/>
                    <w:left w:val="nil"/>
                    <w:bottom w:val="nil"/>
                    <w:right w:val="nil"/>
                  </w:tcBorders>
                  <w:vAlign w:val="center"/>
                </w:tcPr>
                <w:p>
                  <w:pPr>
                    <w:spacing w:line="360" w:lineRule="auto"/>
                    <w:rPr>
                      <w:rFonts w:ascii="黑体" w:hAnsi="黑体" w:eastAsia="黑体" w:cs="宋体"/>
                      <w:kern w:val="0"/>
                      <w:sz w:val="32"/>
                      <w:szCs w:val="32"/>
                    </w:rPr>
                  </w:pPr>
                </w:p>
              </w:tc>
            </w:tr>
            <w:tr>
              <w:tblPrEx>
                <w:tblCellMar>
                  <w:top w:w="0" w:type="dxa"/>
                  <w:left w:w="108" w:type="dxa"/>
                  <w:bottom w:w="0" w:type="dxa"/>
                  <w:right w:w="108" w:type="dxa"/>
                </w:tblCellMar>
              </w:tblPrEx>
              <w:trPr>
                <w:trHeight w:val="221" w:hRule="atLeast"/>
                <w:jc w:val="center"/>
              </w:trPr>
              <w:tc>
                <w:tcPr>
                  <w:tcW w:w="2163" w:type="dxa"/>
                  <w:tcBorders>
                    <w:top w:val="nil"/>
                    <w:left w:val="nil"/>
                    <w:bottom w:val="nil"/>
                    <w:right w:val="nil"/>
                  </w:tcBorders>
                  <w:vAlign w:val="center"/>
                </w:tcPr>
                <w:p>
                  <w:pPr>
                    <w:widowControl/>
                    <w:jc w:val="left"/>
                    <w:rPr>
                      <w:rFonts w:ascii="宋体" w:hAnsi="宋体" w:cs="宋体"/>
                      <w:kern w:val="0"/>
                      <w:sz w:val="24"/>
                      <w:szCs w:val="24"/>
                    </w:rPr>
                  </w:pPr>
                </w:p>
              </w:tc>
              <w:tc>
                <w:tcPr>
                  <w:tcW w:w="1276" w:type="dxa"/>
                  <w:tcBorders>
                    <w:top w:val="nil"/>
                    <w:left w:val="nil"/>
                    <w:bottom w:val="nil"/>
                    <w:right w:val="nil"/>
                  </w:tcBorders>
                  <w:vAlign w:val="center"/>
                </w:tcPr>
                <w:p>
                  <w:pPr>
                    <w:widowControl/>
                    <w:jc w:val="left"/>
                    <w:rPr>
                      <w:rFonts w:ascii="宋体" w:hAnsi="宋体" w:cs="宋体"/>
                      <w:kern w:val="0"/>
                      <w:sz w:val="24"/>
                      <w:szCs w:val="24"/>
                    </w:rPr>
                  </w:pPr>
                </w:p>
              </w:tc>
              <w:tc>
                <w:tcPr>
                  <w:tcW w:w="1418" w:type="dxa"/>
                  <w:tcBorders>
                    <w:top w:val="nil"/>
                    <w:left w:val="nil"/>
                    <w:bottom w:val="nil"/>
                    <w:right w:val="nil"/>
                  </w:tcBorders>
                  <w:vAlign w:val="center"/>
                </w:tcPr>
                <w:p>
                  <w:pPr>
                    <w:widowControl/>
                    <w:jc w:val="left"/>
                    <w:rPr>
                      <w:rFonts w:ascii="宋体" w:hAnsi="宋体" w:cs="宋体"/>
                      <w:kern w:val="0"/>
                      <w:sz w:val="24"/>
                      <w:szCs w:val="24"/>
                    </w:rPr>
                  </w:pPr>
                </w:p>
              </w:tc>
              <w:tc>
                <w:tcPr>
                  <w:tcW w:w="836" w:type="dxa"/>
                  <w:tcBorders>
                    <w:top w:val="nil"/>
                    <w:left w:val="nil"/>
                    <w:bottom w:val="nil"/>
                    <w:right w:val="nil"/>
                  </w:tcBorders>
                  <w:vAlign w:val="center"/>
                </w:tcPr>
                <w:p>
                  <w:pPr>
                    <w:widowControl/>
                    <w:jc w:val="left"/>
                    <w:rPr>
                      <w:rFonts w:ascii="宋体" w:hAnsi="宋体" w:cs="宋体"/>
                      <w:kern w:val="0"/>
                      <w:sz w:val="24"/>
                      <w:szCs w:val="24"/>
                    </w:rPr>
                  </w:pPr>
                </w:p>
              </w:tc>
              <w:tc>
                <w:tcPr>
                  <w:tcW w:w="2397" w:type="dxa"/>
                  <w:tcBorders>
                    <w:top w:val="nil"/>
                    <w:left w:val="nil"/>
                    <w:bottom w:val="nil"/>
                    <w:right w:val="nil"/>
                  </w:tcBorders>
                  <w:vAlign w:val="center"/>
                </w:tcPr>
                <w:p>
                  <w:pPr>
                    <w:widowControl/>
                    <w:jc w:val="right"/>
                    <w:rPr>
                      <w:rFonts w:ascii="宋体" w:hAnsi="宋体" w:cs="宋体"/>
                      <w:kern w:val="0"/>
                      <w:sz w:val="24"/>
                      <w:szCs w:val="24"/>
                    </w:rPr>
                  </w:pPr>
                  <w:r>
                    <w:rPr>
                      <w:rFonts w:hint="eastAsia" w:ascii="宋体" w:hAnsi="宋体" w:cs="宋体"/>
                      <w:kern w:val="0"/>
                      <w:sz w:val="24"/>
                      <w:szCs w:val="24"/>
                    </w:rPr>
                    <w:t>单位：万元</w:t>
                  </w:r>
                </w:p>
              </w:tc>
            </w:tr>
            <w:tr>
              <w:tblPrEx>
                <w:tblCellMar>
                  <w:top w:w="0" w:type="dxa"/>
                  <w:left w:w="108" w:type="dxa"/>
                  <w:bottom w:w="0" w:type="dxa"/>
                  <w:right w:w="108" w:type="dxa"/>
                </w:tblCellMar>
              </w:tblPrEx>
              <w:trPr>
                <w:trHeight w:val="285" w:hRule="atLeast"/>
                <w:jc w:val="center"/>
              </w:trPr>
              <w:tc>
                <w:tcPr>
                  <w:tcW w:w="216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项目名称</w:t>
                  </w:r>
                </w:p>
              </w:tc>
              <w:tc>
                <w:tcPr>
                  <w:tcW w:w="1276"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ascii="仿宋_GB2312" w:hAnsi="宋体" w:eastAsia="仿宋_GB2312" w:cs="宋体"/>
                      <w:b/>
                      <w:kern w:val="0"/>
                      <w:sz w:val="24"/>
                      <w:szCs w:val="24"/>
                    </w:rPr>
                    <w:t>2020</w:t>
                  </w:r>
                  <w:r>
                    <w:rPr>
                      <w:rFonts w:hint="eastAsia" w:ascii="仿宋_GB2312" w:hAnsi="宋体" w:eastAsia="仿宋_GB2312" w:cs="宋体"/>
                      <w:b/>
                      <w:kern w:val="0"/>
                      <w:sz w:val="24"/>
                      <w:szCs w:val="24"/>
                    </w:rPr>
                    <w:t>年度预算</w:t>
                  </w:r>
                </w:p>
              </w:tc>
              <w:tc>
                <w:tcPr>
                  <w:tcW w:w="1418"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ascii="仿宋_GB2312" w:hAnsi="宋体" w:eastAsia="仿宋_GB2312" w:cs="宋体"/>
                      <w:b/>
                      <w:kern w:val="0"/>
                      <w:sz w:val="24"/>
                      <w:szCs w:val="24"/>
                    </w:rPr>
                    <w:t>2021</w:t>
                  </w:r>
                  <w:r>
                    <w:rPr>
                      <w:rFonts w:hint="eastAsia" w:ascii="仿宋_GB2312" w:hAnsi="宋体" w:eastAsia="仿宋_GB2312" w:cs="宋体"/>
                      <w:b/>
                      <w:kern w:val="0"/>
                      <w:sz w:val="24"/>
                      <w:szCs w:val="24"/>
                    </w:rPr>
                    <w:t>年度预算</w:t>
                  </w:r>
                </w:p>
              </w:tc>
              <w:tc>
                <w:tcPr>
                  <w:tcW w:w="836"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增减金额</w:t>
                  </w:r>
                </w:p>
              </w:tc>
              <w:tc>
                <w:tcPr>
                  <w:tcW w:w="2397"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变化原因</w:t>
                  </w:r>
                </w:p>
              </w:tc>
            </w:tr>
            <w:tr>
              <w:tblPrEx>
                <w:tblCellMar>
                  <w:top w:w="0" w:type="dxa"/>
                  <w:left w:w="108" w:type="dxa"/>
                  <w:bottom w:w="0" w:type="dxa"/>
                  <w:right w:w="108" w:type="dxa"/>
                </w:tblCellMar>
              </w:tblPrEx>
              <w:trPr>
                <w:trHeight w:val="285"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因公出国经费</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0</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0</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无变化</w:t>
                  </w:r>
                </w:p>
              </w:tc>
            </w:tr>
            <w:tr>
              <w:tblPrEx>
                <w:tblCellMar>
                  <w:top w:w="0" w:type="dxa"/>
                  <w:left w:w="108" w:type="dxa"/>
                  <w:bottom w:w="0" w:type="dxa"/>
                  <w:right w:w="108" w:type="dxa"/>
                </w:tblCellMar>
              </w:tblPrEx>
              <w:trPr>
                <w:trHeight w:val="285"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公务用车购置经费</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0</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0</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无变化</w:t>
                  </w:r>
                </w:p>
              </w:tc>
            </w:tr>
            <w:tr>
              <w:tblPrEx>
                <w:tblCellMar>
                  <w:top w:w="0" w:type="dxa"/>
                  <w:left w:w="108" w:type="dxa"/>
                  <w:bottom w:w="0" w:type="dxa"/>
                  <w:right w:w="108" w:type="dxa"/>
                </w:tblCellMar>
              </w:tblPrEx>
              <w:trPr>
                <w:trHeight w:val="570"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公务用车运行经费</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3</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3</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无变化</w:t>
                  </w:r>
                </w:p>
              </w:tc>
            </w:tr>
            <w:tr>
              <w:tblPrEx>
                <w:tblCellMar>
                  <w:top w:w="0" w:type="dxa"/>
                  <w:left w:w="108" w:type="dxa"/>
                  <w:bottom w:w="0" w:type="dxa"/>
                  <w:right w:w="108" w:type="dxa"/>
                </w:tblCellMar>
              </w:tblPrEx>
              <w:trPr>
                <w:trHeight w:val="855"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公务接待费支出</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0</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0</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无变化</w:t>
                  </w:r>
                </w:p>
              </w:tc>
            </w:tr>
            <w:tr>
              <w:tblPrEx>
                <w:tblCellMar>
                  <w:top w:w="0" w:type="dxa"/>
                  <w:left w:w="108" w:type="dxa"/>
                  <w:bottom w:w="0" w:type="dxa"/>
                  <w:right w:w="108" w:type="dxa"/>
                </w:tblCellMar>
              </w:tblPrEx>
              <w:trPr>
                <w:trHeight w:val="1140"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合计</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3</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3</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无变化</w:t>
                  </w:r>
                </w:p>
              </w:tc>
            </w:tr>
            <w:tr>
              <w:tblPrEx>
                <w:tblCellMar>
                  <w:top w:w="0" w:type="dxa"/>
                  <w:left w:w="108" w:type="dxa"/>
                  <w:bottom w:w="0" w:type="dxa"/>
                  <w:right w:w="108" w:type="dxa"/>
                </w:tblCellMar>
              </w:tblPrEx>
              <w:trPr>
                <w:trHeight w:val="285" w:hRule="atLeast"/>
                <w:jc w:val="center"/>
              </w:trPr>
              <w:tc>
                <w:tcPr>
                  <w:tcW w:w="2163" w:type="dxa"/>
                  <w:tcBorders>
                    <w:top w:val="nil"/>
                    <w:left w:val="nil"/>
                    <w:bottom w:val="nil"/>
                    <w:right w:val="nil"/>
                  </w:tcBorders>
                  <w:vAlign w:val="center"/>
                </w:tcPr>
                <w:p>
                  <w:pPr>
                    <w:widowControl/>
                    <w:jc w:val="left"/>
                    <w:rPr>
                      <w:rFonts w:ascii="宋体" w:hAnsi="宋体" w:cs="宋体"/>
                      <w:kern w:val="0"/>
                      <w:sz w:val="24"/>
                      <w:szCs w:val="24"/>
                    </w:rPr>
                  </w:pPr>
                </w:p>
              </w:tc>
              <w:tc>
                <w:tcPr>
                  <w:tcW w:w="1276" w:type="dxa"/>
                  <w:tcBorders>
                    <w:top w:val="nil"/>
                    <w:left w:val="nil"/>
                    <w:bottom w:val="nil"/>
                    <w:right w:val="nil"/>
                  </w:tcBorders>
                  <w:vAlign w:val="center"/>
                </w:tcPr>
                <w:p>
                  <w:pPr>
                    <w:widowControl/>
                    <w:jc w:val="left"/>
                    <w:rPr>
                      <w:rFonts w:ascii="宋体" w:hAnsi="宋体" w:cs="宋体"/>
                      <w:kern w:val="0"/>
                      <w:sz w:val="24"/>
                      <w:szCs w:val="24"/>
                    </w:rPr>
                  </w:pPr>
                </w:p>
              </w:tc>
              <w:tc>
                <w:tcPr>
                  <w:tcW w:w="1418" w:type="dxa"/>
                  <w:tcBorders>
                    <w:top w:val="nil"/>
                    <w:left w:val="nil"/>
                    <w:bottom w:val="nil"/>
                    <w:right w:val="nil"/>
                  </w:tcBorders>
                  <w:vAlign w:val="center"/>
                </w:tcPr>
                <w:p>
                  <w:pPr>
                    <w:widowControl/>
                    <w:jc w:val="left"/>
                    <w:rPr>
                      <w:rFonts w:ascii="宋体" w:hAnsi="宋体" w:cs="宋体"/>
                      <w:kern w:val="0"/>
                      <w:sz w:val="24"/>
                      <w:szCs w:val="24"/>
                    </w:rPr>
                  </w:pPr>
                </w:p>
              </w:tc>
              <w:tc>
                <w:tcPr>
                  <w:tcW w:w="836" w:type="dxa"/>
                  <w:tcBorders>
                    <w:top w:val="nil"/>
                    <w:left w:val="nil"/>
                    <w:bottom w:val="nil"/>
                    <w:right w:val="nil"/>
                  </w:tcBorders>
                  <w:vAlign w:val="center"/>
                </w:tcPr>
                <w:p>
                  <w:pPr>
                    <w:widowControl/>
                    <w:jc w:val="left"/>
                    <w:rPr>
                      <w:rFonts w:ascii="宋体" w:hAnsi="宋体" w:cs="宋体"/>
                      <w:kern w:val="0"/>
                      <w:sz w:val="24"/>
                      <w:szCs w:val="24"/>
                    </w:rPr>
                  </w:pPr>
                </w:p>
              </w:tc>
              <w:tc>
                <w:tcPr>
                  <w:tcW w:w="2397" w:type="dxa"/>
                  <w:tcBorders>
                    <w:top w:val="nil"/>
                    <w:left w:val="nil"/>
                    <w:bottom w:val="nil"/>
                    <w:right w:val="nil"/>
                  </w:tcBorders>
                  <w:vAlign w:val="center"/>
                </w:tcPr>
                <w:p>
                  <w:pPr>
                    <w:widowControl/>
                    <w:jc w:val="left"/>
                    <w:rPr>
                      <w:rFonts w:ascii="宋体" w:hAnsi="宋体" w:cs="宋体"/>
                      <w:kern w:val="0"/>
                      <w:sz w:val="24"/>
                      <w:szCs w:val="24"/>
                    </w:rPr>
                  </w:pPr>
                </w:p>
              </w:tc>
            </w:tr>
          </w:tbl>
          <w:p>
            <w:pPr>
              <w:widowControl/>
              <w:spacing w:line="520" w:lineRule="exact"/>
              <w:ind w:right="480"/>
              <w:rPr>
                <w:rFonts w:ascii="仿宋" w:hAnsi="仿宋" w:eastAsia="仿宋" w:cs="宋体"/>
                <w:kern w:val="0"/>
                <w:sz w:val="24"/>
                <w:szCs w:val="24"/>
              </w:rPr>
            </w:pPr>
          </w:p>
        </w:tc>
      </w:tr>
    </w:tbl>
    <w:p>
      <w:pPr>
        <w:spacing w:line="360" w:lineRule="auto"/>
        <w:rPr>
          <w:rFonts w:ascii="黑体" w:hAnsi="黑体" w:eastAsia="黑体" w:cs="Times New Roman"/>
          <w:sz w:val="32"/>
          <w:szCs w:val="32"/>
        </w:rPr>
      </w:pPr>
    </w:p>
    <w:p>
      <w:pPr>
        <w:spacing w:line="360" w:lineRule="auto"/>
        <w:rPr>
          <w:rFonts w:ascii="黑体" w:hAnsi="黑体" w:eastAsia="黑体" w:cs="Times New Roman"/>
          <w:sz w:val="32"/>
          <w:szCs w:val="32"/>
        </w:rPr>
      </w:pPr>
    </w:p>
    <w:p>
      <w:pPr>
        <w:jc w:val="center"/>
        <w:outlineLvl w:val="0"/>
        <w:rPr>
          <w:rFonts w:ascii="方正小标宋_GBK" w:eastAsia="方正小标宋_GBK"/>
          <w:sz w:val="44"/>
        </w:rPr>
      </w:pPr>
      <w:r>
        <w:rPr>
          <w:rFonts w:hint="eastAsia" w:ascii="方正小标宋_GBK" w:eastAsia="方正小标宋_GBK"/>
          <w:sz w:val="44"/>
        </w:rPr>
        <w:t>第五部分：预算绩效信息</w:t>
      </w:r>
    </w:p>
    <w:p>
      <w:pPr>
        <w:spacing w:line="360" w:lineRule="auto"/>
        <w:jc w:val="center"/>
        <w:rPr>
          <w:rFonts w:ascii="黑体" w:hAnsi="黑体" w:eastAsia="黑体" w:cs="Times New Roman"/>
          <w:sz w:val="32"/>
          <w:szCs w:val="32"/>
        </w:rPr>
      </w:pPr>
    </w:p>
    <w:p>
      <w:pPr>
        <w:jc w:val="center"/>
        <w:outlineLvl w:val="0"/>
        <w:rPr>
          <w:rFonts w:ascii="方正小标宋_GBK" w:eastAsia="方正小标宋_GBK"/>
          <w:sz w:val="44"/>
        </w:rPr>
      </w:pPr>
      <w:r>
        <w:rPr>
          <w:rFonts w:hint="eastAsia" w:ascii="方正小标宋_GBK" w:eastAsia="方正小标宋_GBK"/>
          <w:sz w:val="44"/>
          <w:lang w:eastAsia="zh-CN"/>
        </w:rPr>
        <w:t>单位</w:t>
      </w:r>
      <w:r>
        <w:rPr>
          <w:rFonts w:hint="eastAsia" w:ascii="方正小标宋_GBK" w:eastAsia="方正小标宋_GBK"/>
          <w:sz w:val="44"/>
        </w:rPr>
        <w:t>整体</w:t>
      </w:r>
      <w:r>
        <w:rPr>
          <w:rFonts w:ascii="方正小标宋_GBK" w:eastAsia="方正小标宋_GBK"/>
          <w:sz w:val="44"/>
        </w:rPr>
        <w:t>绩效目标</w:t>
      </w:r>
    </w:p>
    <w:p>
      <w:pPr>
        <w:spacing w:before="156" w:beforeLines="50" w:after="156" w:afterLines="50"/>
        <w:ind w:firstLine="640" w:firstLineChars="200"/>
        <w:jc w:val="left"/>
        <w:outlineLvl w:val="1"/>
        <w:rPr>
          <w:rFonts w:ascii="仿宋" w:hAnsi="仿宋" w:eastAsia="仿宋" w:cs="Times New Roman"/>
          <w:sz w:val="32"/>
          <w:szCs w:val="32"/>
        </w:rPr>
      </w:pPr>
      <w:bookmarkStart w:id="0" w:name="_Toc66796130"/>
      <w:r>
        <w:rPr>
          <w:rFonts w:hint="eastAsia" w:ascii="仿宋" w:hAnsi="仿宋" w:eastAsia="仿宋" w:cs="Times New Roman"/>
          <w:sz w:val="32"/>
          <w:szCs w:val="32"/>
        </w:rPr>
        <w:t>一、总体绩效目标</w:t>
      </w:r>
      <w:bookmarkEnd w:id="0"/>
      <w:r>
        <w:rPr>
          <w:rFonts w:ascii="仿宋" w:hAnsi="仿宋" w:eastAsia="仿宋" w:cs="Times New Roman"/>
          <w:sz w:val="32"/>
          <w:szCs w:val="32"/>
        </w:rPr>
        <w:fldChar w:fldCharType="begin"/>
      </w:r>
      <w:r>
        <w:rPr>
          <w:rFonts w:ascii="仿宋" w:hAnsi="仿宋" w:eastAsia="仿宋" w:cs="Times New Roman"/>
          <w:sz w:val="32"/>
          <w:szCs w:val="32"/>
        </w:rPr>
        <w:instrText xml:space="preserve"> </w:instrText>
      </w:r>
      <w:r>
        <w:rPr>
          <w:rFonts w:hint="eastAsia" w:ascii="仿宋" w:hAnsi="仿宋" w:eastAsia="仿宋" w:cs="Times New Roman"/>
          <w:sz w:val="32"/>
          <w:szCs w:val="32"/>
        </w:rPr>
        <w:instrText xml:space="preserve">TC 总体绩效目标 \f A \l 1</w:instrText>
      </w:r>
      <w:r>
        <w:rPr>
          <w:rFonts w:ascii="仿宋" w:hAnsi="仿宋" w:eastAsia="仿宋" w:cs="Times New Roman"/>
          <w:sz w:val="32"/>
          <w:szCs w:val="32"/>
        </w:rPr>
        <w:instrText xml:space="preserve"> </w:instrText>
      </w:r>
      <w:r>
        <w:rPr>
          <w:rFonts w:ascii="仿宋" w:hAnsi="仿宋" w:eastAsia="仿宋" w:cs="Times New Roman"/>
          <w:sz w:val="32"/>
          <w:szCs w:val="32"/>
        </w:rPr>
        <w:fldChar w:fldCharType="end"/>
      </w:r>
    </w:p>
    <w:p>
      <w:pPr>
        <w:spacing w:line="500" w:lineRule="exact"/>
        <w:ind w:firstLine="640" w:firstLineChars="200"/>
        <w:jc w:val="left"/>
        <w:rPr>
          <w:rFonts w:hint="eastAsia" w:ascii="仿宋" w:hAnsi="仿宋" w:eastAsia="仿宋" w:cs="Times New Roman"/>
          <w:sz w:val="32"/>
          <w:szCs w:val="32"/>
        </w:rPr>
      </w:pPr>
      <w:r>
        <w:rPr>
          <w:rFonts w:ascii="仿宋" w:hAnsi="仿宋" w:eastAsia="仿宋" w:cs="Times New Roman"/>
          <w:sz w:val="32"/>
          <w:szCs w:val="32"/>
        </w:rPr>
        <w:t>以习近平新时代中国特色社会主义思想为指导，深入贯彻党的十九届四中全会和省委九届九次全会精神，认真落实上级和区委、区政府重大安排部署，贯彻执行国家关于少数民族、宗教工作的方针政策，协调处理涉及民族关系的有关事宜，监督办理少数民族权益保障事宜；监督检查宗教活动场所，创建和谐寺观教堂，培训宗教工作干部，对困难宗教教职人员进行补助；协助处理民族宗教方面的维稳问题，促进民族宗教团结、稳定。</w:t>
      </w:r>
    </w:p>
    <w:p>
      <w:pPr>
        <w:spacing w:before="156" w:beforeLines="50" w:after="156" w:afterLines="50" w:line="500" w:lineRule="exact"/>
        <w:ind w:firstLine="640" w:firstLineChars="200"/>
        <w:jc w:val="left"/>
        <w:outlineLvl w:val="1"/>
        <w:rPr>
          <w:rFonts w:ascii="仿宋" w:hAnsi="仿宋" w:eastAsia="仿宋" w:cs="Times New Roman"/>
          <w:sz w:val="32"/>
          <w:szCs w:val="32"/>
        </w:rPr>
      </w:pPr>
      <w:bookmarkStart w:id="1" w:name="_Toc66796131"/>
      <w:r>
        <w:rPr>
          <w:rFonts w:ascii="仿宋" w:hAnsi="仿宋" w:eastAsia="仿宋" w:cs="Times New Roman"/>
          <w:sz w:val="32"/>
          <w:szCs w:val="32"/>
        </w:rPr>
        <w:t>二、分项绩效目标</w:t>
      </w:r>
      <w:bookmarkEnd w:id="1"/>
      <w:r>
        <w:rPr>
          <w:rFonts w:ascii="仿宋" w:hAnsi="仿宋" w:eastAsia="仿宋" w:cs="Times New Roman"/>
          <w:sz w:val="32"/>
          <w:szCs w:val="32"/>
        </w:rPr>
        <w:fldChar w:fldCharType="begin"/>
      </w:r>
      <w:r>
        <w:rPr>
          <w:rFonts w:ascii="仿宋" w:hAnsi="仿宋" w:eastAsia="仿宋" w:cs="Times New Roman"/>
          <w:sz w:val="32"/>
          <w:szCs w:val="32"/>
        </w:rPr>
        <w:instrText xml:space="preserve"> TC 分项绩效目标 \f A \l 1 </w:instrText>
      </w:r>
      <w:r>
        <w:rPr>
          <w:rFonts w:ascii="仿宋" w:hAnsi="仿宋" w:eastAsia="仿宋" w:cs="Times New Roman"/>
          <w:sz w:val="32"/>
          <w:szCs w:val="32"/>
        </w:rPr>
        <w:fldChar w:fldCharType="end"/>
      </w:r>
    </w:p>
    <w:p>
      <w:pPr>
        <w:spacing w:line="500" w:lineRule="exact"/>
        <w:ind w:firstLine="640" w:firstLineChars="200"/>
        <w:jc w:val="left"/>
        <w:rPr>
          <w:rFonts w:ascii="仿宋" w:hAnsi="仿宋" w:eastAsia="仿宋" w:cs="Times New Roman"/>
          <w:sz w:val="32"/>
          <w:szCs w:val="32"/>
        </w:rPr>
      </w:pPr>
      <w:r>
        <w:rPr>
          <w:rFonts w:ascii="仿宋" w:hAnsi="仿宋" w:eastAsia="仿宋" w:cs="Times New Roman"/>
          <w:sz w:val="32"/>
          <w:szCs w:val="32"/>
        </w:rPr>
        <w:t>（一）全面持久把民族宗教工作引向深入</w:t>
      </w:r>
    </w:p>
    <w:p>
      <w:pPr>
        <w:spacing w:line="500" w:lineRule="exact"/>
        <w:ind w:firstLine="640" w:firstLineChars="200"/>
        <w:jc w:val="left"/>
        <w:rPr>
          <w:rFonts w:ascii="仿宋" w:hAnsi="仿宋" w:eastAsia="仿宋" w:cs="Times New Roman"/>
          <w:sz w:val="32"/>
          <w:szCs w:val="32"/>
        </w:rPr>
      </w:pPr>
      <w:r>
        <w:rPr>
          <w:rFonts w:ascii="仿宋" w:hAnsi="仿宋" w:eastAsia="仿宋" w:cs="Times New Roman"/>
          <w:sz w:val="32"/>
          <w:szCs w:val="32"/>
        </w:rPr>
        <w:t>绩效目标：贯彻执行国家关于少数民族、宗教工作的方针政策，重大节日“开斋节”对少数民族村和7个清真寺进行慰问，发放慰问金和慰问品；监督检查宗教活动场所，对困难宗教教职人员进行补助；开展培训教育工作，教育、培训各大宗教教职人员和各大宗教爱国爱教人士，促进社会和谐稳定。</w:t>
      </w:r>
    </w:p>
    <w:p>
      <w:pPr>
        <w:spacing w:line="500" w:lineRule="exact"/>
        <w:ind w:firstLine="640" w:firstLineChars="200"/>
        <w:jc w:val="left"/>
        <w:rPr>
          <w:rFonts w:ascii="仿宋" w:hAnsi="仿宋" w:eastAsia="仿宋" w:cs="Times New Roman"/>
          <w:sz w:val="32"/>
          <w:szCs w:val="32"/>
        </w:rPr>
      </w:pPr>
      <w:r>
        <w:rPr>
          <w:rFonts w:ascii="仿宋" w:hAnsi="仿宋" w:eastAsia="仿宋" w:cs="Times New Roman"/>
          <w:sz w:val="32"/>
          <w:szCs w:val="32"/>
        </w:rPr>
        <w:t>绩效指标：民族宗教法律政策宣传普及率达到85%以上；重大节日“开斋节”对少数民族村和7个清真寺进行慰问，发放慰问金和慰问品覆盖率达到80%以上；全年对全区宗教活动场所监督检查达到6次以上；对困难宗教教职人员补助覆盖率达到80%以上；对宗教教职人员和各大宗教爱国爱教人士培训人数达到50人以上。</w:t>
      </w:r>
    </w:p>
    <w:p>
      <w:pPr>
        <w:spacing w:line="500" w:lineRule="exact"/>
        <w:ind w:firstLine="640" w:firstLineChars="200"/>
        <w:jc w:val="left"/>
        <w:rPr>
          <w:rFonts w:ascii="仿宋" w:hAnsi="仿宋" w:eastAsia="仿宋" w:cs="Times New Roman"/>
          <w:sz w:val="32"/>
          <w:szCs w:val="32"/>
        </w:rPr>
      </w:pPr>
      <w:r>
        <w:rPr>
          <w:rFonts w:ascii="仿宋" w:hAnsi="仿宋" w:eastAsia="仿宋" w:cs="Times New Roman"/>
          <w:sz w:val="32"/>
          <w:szCs w:val="32"/>
        </w:rPr>
        <w:t>（二）进一步加强民族宗教领域和谐稳定</w:t>
      </w:r>
    </w:p>
    <w:p>
      <w:pPr>
        <w:spacing w:line="500" w:lineRule="exact"/>
        <w:ind w:firstLine="640" w:firstLineChars="200"/>
        <w:jc w:val="left"/>
        <w:rPr>
          <w:rFonts w:ascii="仿宋" w:hAnsi="仿宋" w:eastAsia="仿宋" w:cs="Times New Roman"/>
          <w:sz w:val="32"/>
          <w:szCs w:val="32"/>
        </w:rPr>
      </w:pPr>
      <w:r>
        <w:rPr>
          <w:rFonts w:ascii="仿宋" w:hAnsi="仿宋" w:eastAsia="仿宋" w:cs="Times New Roman"/>
          <w:sz w:val="32"/>
          <w:szCs w:val="32"/>
        </w:rPr>
        <w:t>绩效目标：开展综合事务管理工作，不断提高民族、宗教法律政策宣传力度；协助处理民族、宗教方面的维稳问题；进行清真食品检查；处理其他不可预见的民族、宗教问题。</w:t>
      </w:r>
    </w:p>
    <w:p>
      <w:pPr>
        <w:spacing w:line="500" w:lineRule="exact"/>
        <w:ind w:firstLine="640" w:firstLineChars="200"/>
        <w:jc w:val="left"/>
        <w:rPr>
          <w:rFonts w:ascii="仿宋" w:hAnsi="仿宋" w:eastAsia="仿宋" w:cs="Times New Roman"/>
          <w:sz w:val="32"/>
          <w:szCs w:val="32"/>
        </w:rPr>
      </w:pPr>
      <w:r>
        <w:rPr>
          <w:rFonts w:ascii="仿宋" w:hAnsi="仿宋" w:eastAsia="仿宋" w:cs="Times New Roman"/>
          <w:sz w:val="32"/>
          <w:szCs w:val="32"/>
        </w:rPr>
        <w:t>绩效指标：民族宗教法律政策宣传普及率达到85%以上；民族宗教维稳率达到90%以上；对全区进行清真食品检查，清真食品认证服务满意度达到80%以上。</w:t>
      </w:r>
    </w:p>
    <w:p>
      <w:pPr>
        <w:spacing w:line="500" w:lineRule="exact"/>
        <w:ind w:firstLine="640" w:firstLineChars="200"/>
        <w:jc w:val="left"/>
        <w:rPr>
          <w:rFonts w:ascii="仿宋" w:hAnsi="仿宋" w:eastAsia="仿宋" w:cs="Times New Roman"/>
          <w:sz w:val="32"/>
          <w:szCs w:val="32"/>
        </w:rPr>
      </w:pPr>
      <w:r>
        <w:rPr>
          <w:rFonts w:ascii="仿宋" w:hAnsi="仿宋" w:eastAsia="仿宋" w:cs="Times New Roman"/>
          <w:sz w:val="32"/>
          <w:szCs w:val="32"/>
        </w:rPr>
        <w:t xml:space="preserve"> </w:t>
      </w:r>
    </w:p>
    <w:p>
      <w:pPr>
        <w:spacing w:line="500" w:lineRule="exact"/>
        <w:ind w:firstLine="640" w:firstLineChars="200"/>
        <w:jc w:val="left"/>
        <w:rPr>
          <w:rFonts w:ascii="仿宋" w:hAnsi="仿宋" w:eastAsia="仿宋" w:cs="Times New Roman"/>
          <w:sz w:val="32"/>
          <w:szCs w:val="32"/>
        </w:rPr>
      </w:pPr>
    </w:p>
    <w:p>
      <w:pPr>
        <w:spacing w:before="156" w:beforeLines="50" w:after="156" w:afterLines="50" w:line="500" w:lineRule="exact"/>
        <w:ind w:firstLine="640" w:firstLineChars="200"/>
        <w:jc w:val="left"/>
        <w:outlineLvl w:val="1"/>
        <w:rPr>
          <w:rFonts w:ascii="仿宋" w:hAnsi="仿宋" w:eastAsia="仿宋" w:cs="Times New Roman"/>
          <w:sz w:val="32"/>
          <w:szCs w:val="32"/>
        </w:rPr>
      </w:pPr>
      <w:bookmarkStart w:id="2" w:name="_Toc66796132"/>
      <w:r>
        <w:rPr>
          <w:rFonts w:ascii="仿宋" w:hAnsi="仿宋" w:eastAsia="仿宋" w:cs="Times New Roman"/>
          <w:sz w:val="32"/>
          <w:szCs w:val="32"/>
        </w:rPr>
        <w:t>三、工作保障措施</w:t>
      </w:r>
      <w:bookmarkEnd w:id="2"/>
      <w:r>
        <w:rPr>
          <w:rFonts w:ascii="仿宋" w:hAnsi="仿宋" w:eastAsia="仿宋" w:cs="Times New Roman"/>
          <w:sz w:val="32"/>
          <w:szCs w:val="32"/>
        </w:rPr>
        <w:fldChar w:fldCharType="begin"/>
      </w:r>
      <w:r>
        <w:rPr>
          <w:rFonts w:ascii="仿宋" w:hAnsi="仿宋" w:eastAsia="仿宋" w:cs="Times New Roman"/>
          <w:sz w:val="32"/>
          <w:szCs w:val="32"/>
        </w:rPr>
        <w:instrText xml:space="preserve"> TC 工作保障措施 \f A \l 1 </w:instrText>
      </w:r>
      <w:r>
        <w:rPr>
          <w:rFonts w:ascii="仿宋" w:hAnsi="仿宋" w:eastAsia="仿宋" w:cs="Times New Roman"/>
          <w:sz w:val="32"/>
          <w:szCs w:val="32"/>
        </w:rPr>
        <w:fldChar w:fldCharType="end"/>
      </w:r>
    </w:p>
    <w:p>
      <w:pPr>
        <w:spacing w:line="500" w:lineRule="exact"/>
        <w:ind w:firstLine="640" w:firstLineChars="200"/>
        <w:jc w:val="left"/>
        <w:rPr>
          <w:rFonts w:ascii="仿宋" w:hAnsi="仿宋" w:eastAsia="仿宋" w:cs="Times New Roman"/>
          <w:sz w:val="32"/>
          <w:szCs w:val="32"/>
        </w:rPr>
      </w:pPr>
      <w:r>
        <w:rPr>
          <w:rFonts w:ascii="仿宋" w:hAnsi="仿宋" w:eastAsia="仿宋" w:cs="Times New Roman"/>
          <w:sz w:val="32"/>
          <w:szCs w:val="32"/>
        </w:rPr>
        <w:t>1、完善制度建设。建立健全本单位预算绩效管理制度体系，不断完善工作机制和工作流程，将事前评估、目标管理、运行监控、绩效评价、结果应用等各项措施，有效融入预算管理的全过程、各环节。围绕年度总体绩效目标和分类绩效目标，明确责任主体和实施进度要求，确保如期完成。</w:t>
      </w:r>
    </w:p>
    <w:p>
      <w:pPr>
        <w:spacing w:line="500" w:lineRule="exact"/>
        <w:ind w:firstLine="640" w:firstLineChars="200"/>
        <w:jc w:val="left"/>
        <w:rPr>
          <w:rFonts w:ascii="仿宋" w:hAnsi="仿宋" w:eastAsia="仿宋" w:cs="Times New Roman"/>
          <w:sz w:val="32"/>
          <w:szCs w:val="32"/>
        </w:rPr>
      </w:pPr>
      <w:r>
        <w:rPr>
          <w:rFonts w:ascii="仿宋" w:hAnsi="仿宋" w:eastAsia="仿宋" w:cs="Times New Roman"/>
          <w:sz w:val="32"/>
          <w:szCs w:val="32"/>
        </w:rPr>
        <w:t>2、狠抓任务落实。本单位明确预算绩效管理职责，科学制定项目和内容的中期、终期绩效目标和评价指标，开展预算绩效中期评估、终期评价，落实整改措施等。</w:t>
      </w:r>
    </w:p>
    <w:p>
      <w:pPr>
        <w:spacing w:line="500" w:lineRule="exact"/>
        <w:ind w:firstLine="640" w:firstLineChars="200"/>
        <w:jc w:val="left"/>
        <w:rPr>
          <w:rFonts w:ascii="仿宋" w:hAnsi="仿宋" w:eastAsia="仿宋" w:cs="Times New Roman"/>
          <w:sz w:val="32"/>
          <w:szCs w:val="32"/>
        </w:rPr>
      </w:pPr>
      <w:r>
        <w:rPr>
          <w:rFonts w:ascii="仿宋" w:hAnsi="仿宋" w:eastAsia="仿宋" w:cs="Times New Roman"/>
          <w:sz w:val="32"/>
          <w:szCs w:val="32"/>
        </w:rPr>
        <w:t>3、加强支出管理。强化财政预算的执行，及时启动项目和支付资金，加快履行政府采购程序，优化</w:t>
      </w:r>
      <w:r>
        <w:rPr>
          <w:rFonts w:hint="eastAsia" w:ascii="仿宋" w:hAnsi="仿宋" w:eastAsia="仿宋" w:cs="Times New Roman"/>
          <w:sz w:val="32"/>
          <w:szCs w:val="32"/>
          <w:lang w:eastAsia="zh-CN"/>
        </w:rPr>
        <w:t>单位</w:t>
      </w:r>
      <w:r>
        <w:rPr>
          <w:rFonts w:ascii="仿宋" w:hAnsi="仿宋" w:eastAsia="仿宋" w:cs="Times New Roman"/>
          <w:sz w:val="32"/>
          <w:szCs w:val="32"/>
        </w:rPr>
        <w:t>预算支出结构，创新财政资金支出思路，按照要求的支出方式，做到按照时间节点完成支出任务,确保支出任务达标。规范财政资金使用和管理，强化内部控制制度建设，更好地发挥财政资金的使用效益。</w:t>
      </w:r>
    </w:p>
    <w:p>
      <w:pPr>
        <w:spacing w:line="500" w:lineRule="exact"/>
        <w:ind w:firstLine="640" w:firstLineChars="200"/>
        <w:jc w:val="left"/>
        <w:rPr>
          <w:rFonts w:ascii="仿宋" w:hAnsi="仿宋" w:eastAsia="仿宋" w:cs="Times New Roman"/>
          <w:sz w:val="32"/>
          <w:szCs w:val="32"/>
        </w:rPr>
      </w:pPr>
      <w:r>
        <w:rPr>
          <w:rFonts w:ascii="仿宋" w:hAnsi="仿宋" w:eastAsia="仿宋" w:cs="Times New Roman"/>
          <w:sz w:val="32"/>
          <w:szCs w:val="32"/>
        </w:rPr>
        <w:t>4、规范财务资产管理。完善财务管理制度，严格审批程序，加强固定资产登记、使用和报废处置管理，做到支出合理，物尽其用，做到账账、账卡、账实相符。</w:t>
      </w:r>
    </w:p>
    <w:p>
      <w:pPr>
        <w:spacing w:line="500" w:lineRule="exact"/>
        <w:ind w:firstLine="640" w:firstLineChars="200"/>
        <w:jc w:val="left"/>
        <w:rPr>
          <w:rFonts w:ascii="仿宋" w:hAnsi="仿宋" w:eastAsia="仿宋" w:cs="Times New Roman"/>
          <w:sz w:val="32"/>
          <w:szCs w:val="32"/>
        </w:rPr>
      </w:pPr>
      <w:r>
        <w:rPr>
          <w:rFonts w:ascii="仿宋" w:hAnsi="仿宋" w:eastAsia="仿宋" w:cs="Times New Roman"/>
          <w:sz w:val="32"/>
          <w:szCs w:val="32"/>
        </w:rPr>
        <w:t>5、加强单位内部监督。加强单位内部制度建设，对绩效运行情况重大支出决策、资产处置及其他重要经济业务事项的决策和执行进行监督，对会计资料进行内部审计并配合做好审计监督等工作，切实提高财政资金使用效益。同时完善预算绩效编制管理、预算执行管理、财政风险防控管理等系统，着力提升技术引领、支撑和保障作用。</w:t>
      </w:r>
    </w:p>
    <w:p>
      <w:pPr>
        <w:spacing w:line="500" w:lineRule="exact"/>
        <w:ind w:firstLine="640" w:firstLineChars="200"/>
        <w:jc w:val="left"/>
        <w:rPr>
          <w:rFonts w:ascii="仿宋" w:hAnsi="仿宋" w:eastAsia="仿宋" w:cs="Times New Roman"/>
          <w:sz w:val="32"/>
          <w:szCs w:val="32"/>
        </w:rPr>
      </w:pPr>
      <w:r>
        <w:rPr>
          <w:rFonts w:ascii="仿宋" w:hAnsi="仿宋" w:eastAsia="仿宋" w:cs="Times New Roman"/>
          <w:sz w:val="32"/>
          <w:szCs w:val="32"/>
        </w:rPr>
        <w:t>6、加强宣传培训调研等。加强单位人员培训，提高本单位人员业务素质；加强调研，提出优化财政资金配置、提高资金使用效益的意见；加大宣传力度，强化预算绩效管理意识，促进预算绩效管理水平进一步提升。</w:t>
      </w:r>
    </w:p>
    <w:p>
      <w:pPr>
        <w:spacing w:line="360" w:lineRule="auto"/>
        <w:ind w:firstLine="640" w:firstLineChars="200"/>
        <w:rPr>
          <w:rFonts w:ascii="仿宋" w:hAnsi="仿宋" w:eastAsia="仿宋"/>
          <w:sz w:val="32"/>
          <w:szCs w:val="32"/>
        </w:rPr>
      </w:pPr>
    </w:p>
    <w:p>
      <w:pPr>
        <w:jc w:val="center"/>
        <w:outlineLvl w:val="0"/>
        <w:rPr>
          <w:rFonts w:ascii="方正书宋_GBK" w:eastAsia="方正书宋_GBK"/>
        </w:rPr>
      </w:pPr>
      <w:r>
        <w:rPr>
          <w:rFonts w:hint="eastAsia" w:ascii="方正小标宋_GBK" w:eastAsia="方正小标宋_GBK"/>
          <w:sz w:val="44"/>
        </w:rPr>
        <w:t>预算项目绩效目标</w:t>
      </w:r>
      <w:r>
        <w:rPr>
          <w:rFonts w:ascii="方正书宋_GBK" w:eastAsia="方正书宋_GBK"/>
        </w:rPr>
        <w:t xml:space="preserve"> </w:t>
      </w:r>
    </w:p>
    <w:p>
      <w:pPr>
        <w:ind w:firstLine="562" w:firstLineChars="200"/>
        <w:jc w:val="left"/>
        <w:outlineLvl w:val="3"/>
        <w:rPr>
          <w:rFonts w:ascii="Times New Roman" w:hAnsi="宋体" w:eastAsia="宋体" w:cs="Times New Roman"/>
          <w:b/>
          <w:sz w:val="28"/>
        </w:rPr>
      </w:pPr>
      <w:bookmarkStart w:id="3" w:name="_Toc66796133"/>
      <w:r>
        <w:rPr>
          <w:rFonts w:ascii="方正仿宋_GBK" w:hAnsi="等线" w:eastAsia="方正仿宋_GBK" w:cs="Times New Roman"/>
          <w:b/>
          <w:sz w:val="28"/>
        </w:rPr>
        <w:t>1.宗教培训教育工作经费绩效目标表</w:t>
      </w:r>
      <w:bookmarkEnd w:id="3"/>
      <w:r>
        <w:rPr>
          <w:rFonts w:ascii="方正仿宋_GBK" w:hAnsi="等线" w:eastAsia="方正仿宋_GBK" w:cs="Times New Roman"/>
          <w:b/>
          <w:sz w:val="28"/>
        </w:rPr>
        <w:fldChar w:fldCharType="begin"/>
      </w:r>
      <w:r>
        <w:rPr>
          <w:rFonts w:ascii="方正仿宋_GBK" w:hAnsi="等线" w:eastAsia="方正仿宋_GBK" w:cs="Times New Roman"/>
          <w:b/>
          <w:sz w:val="28"/>
        </w:rPr>
        <w:instrText xml:space="preserve"> TC 1、宗教培训教育工作经费绩效目标表 \f C \l 1 </w:instrText>
      </w:r>
      <w:r>
        <w:rPr>
          <w:rFonts w:ascii="方正仿宋_GBK" w:hAnsi="等线" w:eastAsia="方正仿宋_GBK" w:cs="Times New Roman"/>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hAnsi="等线" w:eastAsia="方正书宋_GBK" w:cs="Times New Roman"/>
                <w:b/>
              </w:rPr>
            </w:pPr>
            <w:r>
              <w:rPr>
                <w:rFonts w:ascii="方正书宋_GBK" w:hAnsi="等线" w:eastAsia="方正书宋_GBK" w:cs="Times New Roman"/>
                <w:b/>
              </w:rPr>
              <w:t>308001民宗局本级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hAnsi="等线" w:eastAsia="方正书宋_GBK" w:cs="Times New Roman"/>
              </w:rPr>
            </w:pPr>
            <w:r>
              <w:rPr>
                <w:rFonts w:ascii="方正书宋_GBK" w:hAnsi="等线" w:eastAsia="方正书宋_GBK" w:cs="Times New Roman"/>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项目编码</w:t>
            </w:r>
          </w:p>
        </w:tc>
        <w:tc>
          <w:tcPr>
            <w:tcW w:w="2410" w:type="dxa"/>
            <w:gridSpan w:val="2"/>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130625214260WKYXK4YUO</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项目名称</w:t>
            </w:r>
          </w:p>
        </w:tc>
        <w:tc>
          <w:tcPr>
            <w:tcW w:w="4281" w:type="dxa"/>
            <w:gridSpan w:val="3"/>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宗教培训教育工作经费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预算规模及资金用途</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预算数</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7500.00</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其中：财政资金</w:t>
            </w:r>
          </w:p>
        </w:tc>
        <w:tc>
          <w:tcPr>
            <w:tcW w:w="130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7500.00</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其他资金</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rPr>
                <w:rFonts w:ascii="等线" w:hAnsi="等线" w:eastAsia="等线" w:cs="Times New Roman"/>
              </w:rPr>
            </w:pPr>
          </w:p>
        </w:tc>
        <w:tc>
          <w:tcPr>
            <w:tcW w:w="8278" w:type="dxa"/>
            <w:gridSpan w:val="6"/>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用于贯彻执行党和国家的宗教政策法规，教育、培训各大宗教教职人员和信教群众，会议费支出。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资金支出计划（%）</w:t>
            </w:r>
          </w:p>
        </w:tc>
        <w:tc>
          <w:tcPr>
            <w:tcW w:w="2410"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3月底</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6月底</w:t>
            </w:r>
          </w:p>
        </w:tc>
        <w:tc>
          <w:tcPr>
            <w:tcW w:w="130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10月底</w:t>
            </w:r>
          </w:p>
        </w:tc>
        <w:tc>
          <w:tcPr>
            <w:tcW w:w="2977"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rPr>
                <w:rFonts w:ascii="等线" w:hAnsi="等线" w:eastAsia="等线" w:cs="Times New Roman"/>
              </w:rPr>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p>
        </w:tc>
        <w:tc>
          <w:tcPr>
            <w:tcW w:w="1587" w:type="dxa"/>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50.00%</w:t>
            </w:r>
          </w:p>
        </w:tc>
        <w:tc>
          <w:tcPr>
            <w:tcW w:w="1304" w:type="dxa"/>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hint="eastAsia" w:ascii="方正书宋_GBK" w:hAnsi="等线" w:eastAsia="方正书宋_GBK" w:cs="Times New Roman"/>
              </w:rPr>
              <w:t>50.00%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绩效目标</w:t>
            </w:r>
          </w:p>
        </w:tc>
        <w:tc>
          <w:tcPr>
            <w:tcW w:w="8278" w:type="dxa"/>
            <w:gridSpan w:val="6"/>
            <w:tcBorders>
              <w:bottom w:val="nil"/>
            </w:tcBorders>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1."提高培训效果，确保结训人员数量。</w:t>
            </w:r>
          </w:p>
          <w:p>
            <w:pPr>
              <w:spacing w:line="300" w:lineRule="exact"/>
              <w:jc w:val="left"/>
              <w:rPr>
                <w:rFonts w:ascii="方正书宋_GBK" w:hAnsi="等线" w:eastAsia="方正书宋_GBK" w:cs="Times New Roman"/>
              </w:rPr>
            </w:pPr>
            <w:r>
              <w:rPr>
                <w:rFonts w:ascii="方正书宋_GBK" w:hAnsi="等线" w:eastAsia="方正书宋_GBK" w:cs="Times New Roman"/>
              </w:rPr>
              <w:t>2.加大对教职人员和信教群众宗教政策法规的宣传力度，培养各大宗教爱国爱教人士，促进社会和谐稳定。</w:t>
            </w:r>
          </w:p>
          <w:p>
            <w:pPr>
              <w:spacing w:line="300" w:lineRule="exact"/>
              <w:jc w:val="left"/>
              <w:rPr>
                <w:rFonts w:ascii="方正书宋_GBK" w:hAnsi="等线" w:eastAsia="方正书宋_GBK" w:cs="Times New Roman"/>
              </w:rPr>
            </w:pPr>
            <w:r>
              <w:rPr>
                <w:rFonts w:ascii="方正书宋_GBK" w:hAnsi="等线" w:eastAsia="方正书宋_GBK" w:cs="Times New Roman"/>
              </w:rPr>
              <w:t>（宗教会议安排在第四季度）"</w:t>
            </w:r>
          </w:p>
        </w:tc>
      </w:tr>
    </w:tbl>
    <w:p>
      <w:pPr>
        <w:spacing w:line="14" w:lineRule="exact"/>
        <w:jc w:val="center"/>
        <w:rPr>
          <w:rFonts w:ascii="Times New Roman" w:hAnsi="宋体" w:eastAsia="宋体" w:cs="Times New Roman"/>
        </w:rPr>
      </w:pPr>
      <w:r>
        <w:rPr>
          <w:rFonts w:ascii="方正书宋_GBK" w:hAnsi="等线" w:eastAsia="方正书宋_GBK" w:cs="Times New Roman"/>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一级指标</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二级指标</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三级指标</w:t>
            </w:r>
          </w:p>
        </w:tc>
        <w:tc>
          <w:tcPr>
            <w:tcW w:w="2891"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绩效指标描述</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指标值</w:t>
            </w:r>
          </w:p>
        </w:tc>
        <w:tc>
          <w:tcPr>
            <w:tcW w:w="1701"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产出指标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数量指标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培训人次比例</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爱国爱教相关培训人次（人次）</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≥50人</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质量指标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完成率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按时间节点完成</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时效指标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及时率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按照要求和计划完成任务</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成本指标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按标准完成率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安标准足额支出完成率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效益指标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社会效益指标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培训通过率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爱国爱教相关培训考核通过人数占受训总人数的比例</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满意度指标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服务对象满意度指标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培训人员满意度</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调查中满意受训学员数量占调查总人数的比率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历史标准</w:t>
            </w:r>
          </w:p>
        </w:tc>
      </w:tr>
    </w:tbl>
    <w:p>
      <w:pPr>
        <w:spacing w:line="300" w:lineRule="exact"/>
        <w:jc w:val="left"/>
        <w:rPr>
          <w:rFonts w:ascii="等线" w:hAnsi="等线" w:eastAsia="等线" w:cs="Times New Roman"/>
        </w:rPr>
        <w:sectPr>
          <w:pgSz w:w="11907" w:h="16839"/>
          <w:pgMar w:top="1984" w:right="1304" w:bottom="1134" w:left="1304" w:header="851" w:footer="992" w:gutter="0"/>
          <w:cols w:space="425" w:num="1"/>
          <w:docGrid w:type="lines" w:linePitch="312" w:charSpace="0"/>
        </w:sectPr>
      </w:pPr>
    </w:p>
    <w:p>
      <w:pPr>
        <w:spacing w:line="300" w:lineRule="exact"/>
        <w:jc w:val="left"/>
        <w:rPr>
          <w:rFonts w:ascii="等线" w:hAnsi="等线" w:eastAsia="等线" w:cs="Times New Roman"/>
        </w:rPr>
      </w:pPr>
    </w:p>
    <w:p>
      <w:pPr>
        <w:ind w:firstLine="562" w:firstLineChars="200"/>
        <w:jc w:val="left"/>
        <w:outlineLvl w:val="3"/>
        <w:rPr>
          <w:rFonts w:ascii="Times New Roman" w:hAnsi="宋体" w:eastAsia="宋体" w:cs="Times New Roman"/>
          <w:b/>
          <w:sz w:val="28"/>
        </w:rPr>
      </w:pPr>
      <w:bookmarkStart w:id="4" w:name="_Toc66796134"/>
      <w:r>
        <w:rPr>
          <w:rFonts w:ascii="方正仿宋_GBK" w:hAnsi="等线" w:eastAsia="方正仿宋_GBK" w:cs="Times New Roman"/>
          <w:b/>
          <w:sz w:val="28"/>
        </w:rPr>
        <w:t>2.2021年省级少数民族地区补助费绩效目标表</w:t>
      </w:r>
      <w:bookmarkEnd w:id="4"/>
      <w:r>
        <w:rPr>
          <w:rFonts w:ascii="方正仿宋_GBK" w:hAnsi="等线" w:eastAsia="方正仿宋_GBK" w:cs="Times New Roman"/>
          <w:b/>
          <w:sz w:val="28"/>
        </w:rPr>
        <w:fldChar w:fldCharType="begin"/>
      </w:r>
      <w:r>
        <w:rPr>
          <w:rFonts w:ascii="方正仿宋_GBK" w:hAnsi="等线" w:eastAsia="方正仿宋_GBK" w:cs="Times New Roman"/>
          <w:b/>
          <w:sz w:val="28"/>
        </w:rPr>
        <w:instrText xml:space="preserve"> TC 2、2021年省级少数民族地区补助费绩效目标表 \f C \l 1 </w:instrText>
      </w:r>
      <w:r>
        <w:rPr>
          <w:rFonts w:ascii="方正仿宋_GBK" w:hAnsi="等线" w:eastAsia="方正仿宋_GBK" w:cs="Times New Roman"/>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hAnsi="等线" w:eastAsia="方正书宋_GBK" w:cs="Times New Roman"/>
                <w:b/>
              </w:rPr>
            </w:pPr>
            <w:r>
              <w:rPr>
                <w:rFonts w:ascii="方正书宋_GBK" w:hAnsi="等线" w:eastAsia="方正书宋_GBK" w:cs="Times New Roman"/>
                <w:b/>
              </w:rPr>
              <w:t>308001民宗局本级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hAnsi="等线" w:eastAsia="方正书宋_GBK" w:cs="Times New Roman"/>
              </w:rPr>
            </w:pPr>
            <w:r>
              <w:rPr>
                <w:rFonts w:ascii="方正书宋_GBK" w:hAnsi="等线" w:eastAsia="方正书宋_GBK" w:cs="Times New Roman"/>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项目编码</w:t>
            </w:r>
          </w:p>
        </w:tc>
        <w:tc>
          <w:tcPr>
            <w:tcW w:w="2410" w:type="dxa"/>
            <w:gridSpan w:val="2"/>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130625214XB08OP4KR8AI</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项目名称</w:t>
            </w:r>
          </w:p>
        </w:tc>
        <w:tc>
          <w:tcPr>
            <w:tcW w:w="4281" w:type="dxa"/>
            <w:gridSpan w:val="3"/>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2021年省级少数民族地区补助费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预算规模及资金用途</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预算数</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20000.00</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其中：财政资金</w:t>
            </w:r>
          </w:p>
        </w:tc>
        <w:tc>
          <w:tcPr>
            <w:tcW w:w="130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20000.00</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其他资金</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rPr>
                <w:rFonts w:ascii="等线" w:hAnsi="等线" w:eastAsia="等线" w:cs="Times New Roman"/>
              </w:rPr>
            </w:pPr>
          </w:p>
        </w:tc>
        <w:tc>
          <w:tcPr>
            <w:tcW w:w="8278" w:type="dxa"/>
            <w:gridSpan w:val="6"/>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用于民族团结进步创建活动，发放宣传材料，悬挂条幅、设立宣传栏等形式宣传党的民族政策，法律法规等;用于办公设备购置（电脑、彩色打印机、空调、桌椅），根据本单位工作需要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资金支出计划（%）</w:t>
            </w:r>
          </w:p>
        </w:tc>
        <w:tc>
          <w:tcPr>
            <w:tcW w:w="2410"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3月底</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6月底</w:t>
            </w:r>
          </w:p>
        </w:tc>
        <w:tc>
          <w:tcPr>
            <w:tcW w:w="130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10月底</w:t>
            </w:r>
          </w:p>
        </w:tc>
        <w:tc>
          <w:tcPr>
            <w:tcW w:w="2977"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rPr>
                <w:rFonts w:ascii="等线" w:hAnsi="等线" w:eastAsia="等线" w:cs="Times New Roman"/>
              </w:rPr>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30.00%</w:t>
            </w:r>
          </w:p>
        </w:tc>
        <w:tc>
          <w:tcPr>
            <w:tcW w:w="1587" w:type="dxa"/>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60.00%</w:t>
            </w:r>
          </w:p>
        </w:tc>
        <w:tc>
          <w:tcPr>
            <w:tcW w:w="1304" w:type="dxa"/>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80.00%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绩效目标</w:t>
            </w:r>
          </w:p>
        </w:tc>
        <w:tc>
          <w:tcPr>
            <w:tcW w:w="8278" w:type="dxa"/>
            <w:gridSpan w:val="6"/>
            <w:tcBorders>
              <w:bottom w:val="nil"/>
            </w:tcBorders>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1.用于民族团结进步创建活动，促进少数民族经济发展。</w:t>
            </w:r>
          </w:p>
          <w:p>
            <w:pPr>
              <w:spacing w:line="300" w:lineRule="exact"/>
              <w:jc w:val="left"/>
              <w:rPr>
                <w:rFonts w:ascii="方正书宋_GBK" w:hAnsi="等线" w:eastAsia="方正书宋_GBK" w:cs="Times New Roman"/>
              </w:rPr>
            </w:pPr>
            <w:r>
              <w:rPr>
                <w:rFonts w:ascii="方正书宋_GBK" w:hAnsi="等线" w:eastAsia="方正书宋_GBK" w:cs="Times New Roman"/>
              </w:rPr>
              <w:t>2.用于发放宣传材料，悬挂条幅、设立宣传栏等形式宣传党的民族政策，法律法规等;</w:t>
            </w:r>
          </w:p>
        </w:tc>
      </w:tr>
    </w:tbl>
    <w:p>
      <w:pPr>
        <w:spacing w:line="14" w:lineRule="exact"/>
        <w:jc w:val="center"/>
        <w:rPr>
          <w:rFonts w:ascii="Times New Roman" w:hAnsi="宋体" w:eastAsia="宋体" w:cs="Times New Roman"/>
        </w:rPr>
      </w:pPr>
      <w:r>
        <w:rPr>
          <w:rFonts w:ascii="方正书宋_GBK" w:hAnsi="等线" w:eastAsia="方正书宋_GBK" w:cs="Times New Roman"/>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一级指标</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二级指标</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三级指标</w:t>
            </w:r>
          </w:p>
        </w:tc>
        <w:tc>
          <w:tcPr>
            <w:tcW w:w="2891"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绩效指标描述</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指标值</w:t>
            </w:r>
          </w:p>
        </w:tc>
        <w:tc>
          <w:tcPr>
            <w:tcW w:w="1701"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产出指标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数量指标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民族法律政策宣传普及率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 xml:space="preserve"> 民族法律政策宣传</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质量指标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按期完成率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按时完成</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时效指标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及时率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按照时间节点完成</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成本指标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预算率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控制在预算数以内</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效益指标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社会效益指标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工作保障质量</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各项工作有序开展，保障率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满意度指标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服务对象满意度指标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民族村人民满意程度</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宣传民族政策</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历史标准</w:t>
            </w:r>
          </w:p>
        </w:tc>
      </w:tr>
    </w:tbl>
    <w:p>
      <w:pPr>
        <w:spacing w:line="300" w:lineRule="exact"/>
        <w:jc w:val="left"/>
        <w:rPr>
          <w:rFonts w:ascii="等线" w:hAnsi="等线" w:eastAsia="等线" w:cs="Times New Roman"/>
        </w:rPr>
        <w:sectPr>
          <w:pgSz w:w="11907" w:h="16839"/>
          <w:pgMar w:top="1984" w:right="1304" w:bottom="1134" w:left="1304" w:header="851" w:footer="992" w:gutter="0"/>
          <w:cols w:space="425" w:num="1"/>
          <w:docGrid w:type="lines" w:linePitch="312" w:charSpace="0"/>
        </w:sectPr>
      </w:pPr>
    </w:p>
    <w:p>
      <w:pPr>
        <w:spacing w:line="300" w:lineRule="exact"/>
        <w:jc w:val="left"/>
        <w:rPr>
          <w:rFonts w:ascii="等线" w:hAnsi="等线" w:eastAsia="等线" w:cs="Times New Roman"/>
        </w:rPr>
      </w:pPr>
    </w:p>
    <w:p>
      <w:pPr>
        <w:ind w:firstLine="562" w:firstLineChars="200"/>
        <w:jc w:val="left"/>
        <w:outlineLvl w:val="3"/>
        <w:rPr>
          <w:rFonts w:ascii="Times New Roman" w:hAnsi="宋体" w:eastAsia="宋体" w:cs="Times New Roman"/>
          <w:b/>
          <w:sz w:val="28"/>
        </w:rPr>
      </w:pPr>
      <w:bookmarkStart w:id="5" w:name="_Toc66796135"/>
      <w:r>
        <w:rPr>
          <w:rFonts w:ascii="方正仿宋_GBK" w:hAnsi="等线" w:eastAsia="方正仿宋_GBK" w:cs="Times New Roman"/>
          <w:b/>
          <w:sz w:val="28"/>
        </w:rPr>
        <w:t>3.宗教基本事务管理工作经费绩效目标表</w:t>
      </w:r>
      <w:bookmarkEnd w:id="5"/>
      <w:r>
        <w:rPr>
          <w:rFonts w:ascii="方正仿宋_GBK" w:hAnsi="等线" w:eastAsia="方正仿宋_GBK" w:cs="Times New Roman"/>
          <w:b/>
          <w:sz w:val="28"/>
        </w:rPr>
        <w:fldChar w:fldCharType="begin"/>
      </w:r>
      <w:r>
        <w:rPr>
          <w:rFonts w:ascii="方正仿宋_GBK" w:hAnsi="等线" w:eastAsia="方正仿宋_GBK" w:cs="Times New Roman"/>
          <w:b/>
          <w:sz w:val="28"/>
        </w:rPr>
        <w:instrText xml:space="preserve"> TC 3、宗教基本事务管理工作经费绩效目标表 \f C \l 1 </w:instrText>
      </w:r>
      <w:r>
        <w:rPr>
          <w:rFonts w:ascii="方正仿宋_GBK" w:hAnsi="等线" w:eastAsia="方正仿宋_GBK" w:cs="Times New Roman"/>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hAnsi="等线" w:eastAsia="方正书宋_GBK" w:cs="Times New Roman"/>
                <w:b/>
              </w:rPr>
            </w:pPr>
            <w:r>
              <w:rPr>
                <w:rFonts w:ascii="方正书宋_GBK" w:hAnsi="等线" w:eastAsia="方正书宋_GBK" w:cs="Times New Roman"/>
                <w:b/>
              </w:rPr>
              <w:t>308001民宗局本级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hAnsi="等线" w:eastAsia="方正书宋_GBK" w:cs="Times New Roman"/>
              </w:rPr>
            </w:pPr>
            <w:r>
              <w:rPr>
                <w:rFonts w:ascii="方正书宋_GBK" w:hAnsi="等线" w:eastAsia="方正书宋_GBK" w:cs="Times New Roman"/>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项目编码</w:t>
            </w:r>
          </w:p>
        </w:tc>
        <w:tc>
          <w:tcPr>
            <w:tcW w:w="2410" w:type="dxa"/>
            <w:gridSpan w:val="2"/>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13062521O57FQLXBDIS5E</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项目名称</w:t>
            </w:r>
          </w:p>
        </w:tc>
        <w:tc>
          <w:tcPr>
            <w:tcW w:w="4281" w:type="dxa"/>
            <w:gridSpan w:val="3"/>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宗教基本事务管理工作经费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预算规模及资金用途</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预算数</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12500.00</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其中：财政资金</w:t>
            </w:r>
          </w:p>
        </w:tc>
        <w:tc>
          <w:tcPr>
            <w:tcW w:w="130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12500.00</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其他资金</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rPr>
                <w:rFonts w:ascii="等线" w:hAnsi="等线" w:eastAsia="等线" w:cs="Times New Roman"/>
              </w:rPr>
            </w:pPr>
          </w:p>
        </w:tc>
        <w:tc>
          <w:tcPr>
            <w:tcW w:w="8278" w:type="dxa"/>
            <w:gridSpan w:val="6"/>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用于贯彻执行国家关于宗教工作的方针政策,监督检查宗教活动场所;用于宗教场所和教职人员支出。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资金支出计划（%）</w:t>
            </w:r>
          </w:p>
        </w:tc>
        <w:tc>
          <w:tcPr>
            <w:tcW w:w="2410"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3月底</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6月底</w:t>
            </w:r>
          </w:p>
        </w:tc>
        <w:tc>
          <w:tcPr>
            <w:tcW w:w="130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10月底</w:t>
            </w:r>
          </w:p>
        </w:tc>
        <w:tc>
          <w:tcPr>
            <w:tcW w:w="2977"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rPr>
                <w:rFonts w:ascii="等线" w:hAnsi="等线" w:eastAsia="等线" w:cs="Times New Roman"/>
              </w:rPr>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p>
        </w:tc>
        <w:tc>
          <w:tcPr>
            <w:tcW w:w="1587" w:type="dxa"/>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p>
        </w:tc>
        <w:tc>
          <w:tcPr>
            <w:tcW w:w="1304" w:type="dxa"/>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p>
        </w:tc>
        <w:tc>
          <w:tcPr>
            <w:tcW w:w="2977" w:type="dxa"/>
            <w:gridSpan w:val="2"/>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绩效目标</w:t>
            </w:r>
          </w:p>
        </w:tc>
        <w:tc>
          <w:tcPr>
            <w:tcW w:w="8278" w:type="dxa"/>
            <w:gridSpan w:val="6"/>
            <w:tcBorders>
              <w:bottom w:val="nil"/>
            </w:tcBorders>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1.监督检查宗教活动场所</w:t>
            </w:r>
          </w:p>
          <w:p>
            <w:pPr>
              <w:spacing w:line="300" w:lineRule="exact"/>
              <w:jc w:val="left"/>
              <w:rPr>
                <w:rFonts w:ascii="方正书宋_GBK" w:hAnsi="等线" w:eastAsia="方正书宋_GBK" w:cs="Times New Roman"/>
              </w:rPr>
            </w:pPr>
            <w:r>
              <w:rPr>
                <w:rFonts w:ascii="方正书宋_GBK" w:hAnsi="等线" w:eastAsia="方正书宋_GBK" w:cs="Times New Roman"/>
              </w:rPr>
              <w:t>2.确保宗教场所不出现恶性事件，维护社会稳定</w:t>
            </w:r>
          </w:p>
        </w:tc>
      </w:tr>
    </w:tbl>
    <w:p>
      <w:pPr>
        <w:spacing w:line="14" w:lineRule="exact"/>
        <w:jc w:val="center"/>
        <w:rPr>
          <w:rFonts w:ascii="Times New Roman" w:hAnsi="宋体" w:eastAsia="宋体" w:cs="Times New Roman"/>
        </w:rPr>
      </w:pPr>
      <w:r>
        <w:rPr>
          <w:rFonts w:ascii="方正书宋_GBK" w:hAnsi="等线" w:eastAsia="方正书宋_GBK" w:cs="Times New Roman"/>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一级指标</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二级指标</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三级指标</w:t>
            </w:r>
          </w:p>
        </w:tc>
        <w:tc>
          <w:tcPr>
            <w:tcW w:w="2891"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绩效指标描述</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指标值</w:t>
            </w:r>
          </w:p>
        </w:tc>
        <w:tc>
          <w:tcPr>
            <w:tcW w:w="1701"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产出指标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数量指标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全区宗教活动场所检查次数</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对全区宗教活动场所检查的次数</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≥6次</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质量指标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完成率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按时间节点完成</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时效指标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及时率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按照要求和计划完成任务</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成本指标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按标准完成率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安标准足额支出完成率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效益指标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社会效益指标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帮扶困难教职人员覆盖率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区乡困难教职人员帮扶人数占全区困难教职人员总量的比例</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满意度指标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服务对象满意度指标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困难教职人员满意度</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补助困难教职人员的满意程度</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历史标准</w:t>
            </w:r>
          </w:p>
        </w:tc>
      </w:tr>
    </w:tbl>
    <w:p>
      <w:pPr>
        <w:spacing w:line="300" w:lineRule="exact"/>
        <w:jc w:val="left"/>
        <w:rPr>
          <w:rFonts w:ascii="等线" w:hAnsi="等线" w:eastAsia="等线" w:cs="Times New Roman"/>
        </w:rPr>
        <w:sectPr>
          <w:pgSz w:w="11907" w:h="16839"/>
          <w:pgMar w:top="1984" w:right="1304" w:bottom="1134" w:left="1304" w:header="851" w:footer="992" w:gutter="0"/>
          <w:cols w:space="425" w:num="1"/>
          <w:docGrid w:type="lines" w:linePitch="312" w:charSpace="0"/>
        </w:sectPr>
      </w:pPr>
    </w:p>
    <w:p>
      <w:pPr>
        <w:spacing w:line="300" w:lineRule="exact"/>
        <w:jc w:val="left"/>
        <w:rPr>
          <w:rFonts w:ascii="等线" w:hAnsi="等线" w:eastAsia="等线" w:cs="Times New Roman"/>
        </w:rPr>
      </w:pPr>
    </w:p>
    <w:p>
      <w:pPr>
        <w:ind w:firstLine="562" w:firstLineChars="200"/>
        <w:jc w:val="left"/>
        <w:outlineLvl w:val="3"/>
        <w:rPr>
          <w:rFonts w:ascii="Times New Roman" w:hAnsi="宋体" w:eastAsia="宋体" w:cs="Times New Roman"/>
          <w:b/>
          <w:sz w:val="28"/>
        </w:rPr>
      </w:pPr>
      <w:bookmarkStart w:id="6" w:name="_Toc66796136"/>
      <w:r>
        <w:rPr>
          <w:rFonts w:ascii="方正仿宋_GBK" w:hAnsi="等线" w:eastAsia="方正仿宋_GBK" w:cs="Times New Roman"/>
          <w:b/>
          <w:sz w:val="28"/>
        </w:rPr>
        <w:t>4.民族政务管理工作经费绩效目标表</w:t>
      </w:r>
      <w:bookmarkEnd w:id="6"/>
      <w:r>
        <w:rPr>
          <w:rFonts w:ascii="方正仿宋_GBK" w:hAnsi="等线" w:eastAsia="方正仿宋_GBK" w:cs="Times New Roman"/>
          <w:b/>
          <w:sz w:val="28"/>
        </w:rPr>
        <w:fldChar w:fldCharType="begin"/>
      </w:r>
      <w:r>
        <w:rPr>
          <w:rFonts w:ascii="方正仿宋_GBK" w:hAnsi="等线" w:eastAsia="方正仿宋_GBK" w:cs="Times New Roman"/>
          <w:b/>
          <w:sz w:val="28"/>
        </w:rPr>
        <w:instrText xml:space="preserve"> TC 4、民族政务管理工作经费绩效目标表 \f C \l 1 </w:instrText>
      </w:r>
      <w:r>
        <w:rPr>
          <w:rFonts w:ascii="方正仿宋_GBK" w:hAnsi="等线" w:eastAsia="方正仿宋_GBK" w:cs="Times New Roman"/>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hAnsi="等线" w:eastAsia="方正书宋_GBK" w:cs="Times New Roman"/>
                <w:b/>
              </w:rPr>
            </w:pPr>
            <w:r>
              <w:rPr>
                <w:rFonts w:ascii="方正书宋_GBK" w:hAnsi="等线" w:eastAsia="方正书宋_GBK" w:cs="Times New Roman"/>
                <w:b/>
              </w:rPr>
              <w:t>308001民宗局本级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hAnsi="等线" w:eastAsia="方正书宋_GBK" w:cs="Times New Roman"/>
              </w:rPr>
            </w:pPr>
            <w:r>
              <w:rPr>
                <w:rFonts w:ascii="方正书宋_GBK" w:hAnsi="等线" w:eastAsia="方正书宋_GBK" w:cs="Times New Roman"/>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项目编码</w:t>
            </w:r>
          </w:p>
        </w:tc>
        <w:tc>
          <w:tcPr>
            <w:tcW w:w="2410" w:type="dxa"/>
            <w:gridSpan w:val="2"/>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13062521QXKGRK9I6GZHO</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项目名称</w:t>
            </w:r>
          </w:p>
        </w:tc>
        <w:tc>
          <w:tcPr>
            <w:tcW w:w="4281" w:type="dxa"/>
            <w:gridSpan w:val="3"/>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民族政务管理工作经费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预算规模及资金用途</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预算数</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7200.00</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其中：财政资金</w:t>
            </w:r>
          </w:p>
        </w:tc>
        <w:tc>
          <w:tcPr>
            <w:tcW w:w="130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7200.00</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其他资金</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rPr>
                <w:rFonts w:ascii="等线" w:hAnsi="等线" w:eastAsia="等线" w:cs="Times New Roman"/>
              </w:rPr>
            </w:pPr>
          </w:p>
        </w:tc>
        <w:tc>
          <w:tcPr>
            <w:tcW w:w="8278" w:type="dxa"/>
            <w:gridSpan w:val="6"/>
            <w:shd w:val="clear" w:color="auto" w:fill="auto"/>
            <w:vAlign w:val="center"/>
          </w:tcPr>
          <w:p>
            <w:pPr>
              <w:spacing w:line="300" w:lineRule="exact"/>
              <w:jc w:val="left"/>
              <w:rPr>
                <w:rFonts w:ascii="方正书宋_GBK" w:hAnsi="等线" w:eastAsia="方正书宋_GBK" w:cs="Times New Roman"/>
              </w:rPr>
            </w:pPr>
          </w:p>
          <w:p>
            <w:pPr>
              <w:spacing w:line="300" w:lineRule="exact"/>
              <w:jc w:val="left"/>
              <w:rPr>
                <w:rFonts w:ascii="方正书宋_GBK" w:hAnsi="等线" w:eastAsia="方正书宋_GBK" w:cs="Times New Roman"/>
              </w:rPr>
            </w:pPr>
            <w:r>
              <w:rPr>
                <w:rFonts w:ascii="方正书宋_GBK" w:hAnsi="等线" w:eastAsia="方正书宋_GBK" w:cs="Times New Roman"/>
              </w:rPr>
              <w:t>用于开展民族政策的宣传教育工作，发放宣传材料等；协助处理民族团结、稳定、妥善处置民族突发事件，进行清真食品检查，处理其他不可预见的民族问题，维护民族工作和谐稳。</w:t>
            </w:r>
          </w:p>
          <w:p>
            <w:pPr>
              <w:spacing w:line="300" w:lineRule="exact"/>
              <w:jc w:val="left"/>
              <w:rPr>
                <w:rFonts w:ascii="方正书宋_GBK" w:hAnsi="等线"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资金支出计划（%）</w:t>
            </w:r>
          </w:p>
        </w:tc>
        <w:tc>
          <w:tcPr>
            <w:tcW w:w="2410"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3月底</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6月底</w:t>
            </w:r>
          </w:p>
        </w:tc>
        <w:tc>
          <w:tcPr>
            <w:tcW w:w="130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10月底</w:t>
            </w:r>
          </w:p>
        </w:tc>
        <w:tc>
          <w:tcPr>
            <w:tcW w:w="2977"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rPr>
                <w:rFonts w:ascii="等线" w:hAnsi="等线" w:eastAsia="等线" w:cs="Times New Roman"/>
              </w:rPr>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p>
        </w:tc>
        <w:tc>
          <w:tcPr>
            <w:tcW w:w="1587" w:type="dxa"/>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p>
        </w:tc>
        <w:tc>
          <w:tcPr>
            <w:tcW w:w="1304" w:type="dxa"/>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p>
        </w:tc>
        <w:tc>
          <w:tcPr>
            <w:tcW w:w="2977" w:type="dxa"/>
            <w:gridSpan w:val="2"/>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绩效目标</w:t>
            </w:r>
          </w:p>
        </w:tc>
        <w:tc>
          <w:tcPr>
            <w:tcW w:w="8278" w:type="dxa"/>
            <w:gridSpan w:val="6"/>
            <w:tcBorders>
              <w:bottom w:val="nil"/>
            </w:tcBorders>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1.不断提高民族法律政策宣传覆盖率，加大宣传教育力度。</w:t>
            </w:r>
          </w:p>
          <w:p>
            <w:pPr>
              <w:spacing w:line="300" w:lineRule="exact"/>
              <w:jc w:val="left"/>
              <w:rPr>
                <w:rFonts w:ascii="方正书宋_GBK" w:hAnsi="等线" w:eastAsia="方正书宋_GBK" w:cs="Times New Roman"/>
              </w:rPr>
            </w:pPr>
            <w:r>
              <w:rPr>
                <w:rFonts w:ascii="方正书宋_GBK" w:hAnsi="等线" w:eastAsia="方正书宋_GBK" w:cs="Times New Roman"/>
              </w:rPr>
              <w:t>2.加大清真食品检查，妥善协助解决出现的突发事件，及时解决其他民族问题。</w:t>
            </w:r>
          </w:p>
        </w:tc>
      </w:tr>
    </w:tbl>
    <w:p>
      <w:pPr>
        <w:spacing w:line="14" w:lineRule="exact"/>
        <w:jc w:val="center"/>
        <w:rPr>
          <w:rFonts w:ascii="Times New Roman" w:hAnsi="宋体" w:eastAsia="宋体" w:cs="Times New Roman"/>
        </w:rPr>
      </w:pPr>
      <w:r>
        <w:rPr>
          <w:rFonts w:ascii="方正书宋_GBK" w:hAnsi="等线" w:eastAsia="方正书宋_GBK" w:cs="Times New Roman"/>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一级指标</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二级指标</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三级指标</w:t>
            </w:r>
          </w:p>
        </w:tc>
        <w:tc>
          <w:tcPr>
            <w:tcW w:w="2891"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绩效指标描述</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指标值</w:t>
            </w:r>
          </w:p>
        </w:tc>
        <w:tc>
          <w:tcPr>
            <w:tcW w:w="1701"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产出指标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数量指标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维稳问题解决率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已解决维稳问题占全部维稳问题率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质量指标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完成率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按时间节点完成</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时效指标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及时率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按照要求和计划完成任务</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成本指标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按标准完成率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安标准足额支出完成率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效益指标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社会效益指标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妥善协助解决少数民族出现的问题</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已解决民族突发事件占民族突然事件的比率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满意度指标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服务对象满意度指标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清真食品认证服务满意度</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调查中满意的服务对象占全部人数的比率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历史标准</w:t>
            </w:r>
          </w:p>
        </w:tc>
      </w:tr>
    </w:tbl>
    <w:p>
      <w:pPr>
        <w:spacing w:line="300" w:lineRule="exact"/>
        <w:jc w:val="left"/>
        <w:rPr>
          <w:rFonts w:ascii="等线" w:hAnsi="等线" w:eastAsia="等线" w:cs="Times New Roman"/>
        </w:rPr>
        <w:sectPr>
          <w:pgSz w:w="11907" w:h="16839"/>
          <w:pgMar w:top="1984" w:right="1304" w:bottom="1134" w:left="1304" w:header="851" w:footer="992" w:gutter="0"/>
          <w:cols w:space="425" w:num="1"/>
          <w:docGrid w:type="lines" w:linePitch="312" w:charSpace="0"/>
        </w:sectPr>
      </w:pPr>
    </w:p>
    <w:p>
      <w:pPr>
        <w:spacing w:line="300" w:lineRule="exact"/>
        <w:jc w:val="left"/>
        <w:rPr>
          <w:rFonts w:ascii="等线" w:hAnsi="等线" w:eastAsia="等线" w:cs="Times New Roman"/>
        </w:rPr>
      </w:pPr>
    </w:p>
    <w:p>
      <w:pPr>
        <w:ind w:firstLine="562" w:firstLineChars="200"/>
        <w:jc w:val="left"/>
        <w:outlineLvl w:val="3"/>
        <w:rPr>
          <w:rFonts w:ascii="Times New Roman" w:hAnsi="宋体" w:eastAsia="宋体" w:cs="Times New Roman"/>
          <w:b/>
          <w:sz w:val="28"/>
        </w:rPr>
      </w:pPr>
      <w:bookmarkStart w:id="7" w:name="_Toc66796137"/>
      <w:r>
        <w:rPr>
          <w:rFonts w:ascii="方正仿宋_GBK" w:hAnsi="等线" w:eastAsia="方正仿宋_GBK" w:cs="Times New Roman"/>
          <w:b/>
          <w:sz w:val="28"/>
        </w:rPr>
        <w:t>5.宗教政务管理工作经费绩效目标表</w:t>
      </w:r>
      <w:bookmarkEnd w:id="7"/>
      <w:r>
        <w:rPr>
          <w:rFonts w:ascii="方正仿宋_GBK" w:hAnsi="等线" w:eastAsia="方正仿宋_GBK" w:cs="Times New Roman"/>
          <w:b/>
          <w:sz w:val="28"/>
        </w:rPr>
        <w:fldChar w:fldCharType="begin"/>
      </w:r>
      <w:r>
        <w:rPr>
          <w:rFonts w:ascii="方正仿宋_GBK" w:hAnsi="等线" w:eastAsia="方正仿宋_GBK" w:cs="Times New Roman"/>
          <w:b/>
          <w:sz w:val="28"/>
        </w:rPr>
        <w:instrText xml:space="preserve"> TC 5、宗教政务管理工作经费绩效目标表 \f C \l 1 </w:instrText>
      </w:r>
      <w:r>
        <w:rPr>
          <w:rFonts w:ascii="方正仿宋_GBK" w:hAnsi="等线" w:eastAsia="方正仿宋_GBK" w:cs="Times New Roman"/>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hAnsi="等线" w:eastAsia="方正书宋_GBK" w:cs="Times New Roman"/>
                <w:b/>
              </w:rPr>
            </w:pPr>
            <w:r>
              <w:rPr>
                <w:rFonts w:ascii="方正书宋_GBK" w:hAnsi="等线" w:eastAsia="方正书宋_GBK" w:cs="Times New Roman"/>
                <w:b/>
              </w:rPr>
              <w:t>308001民宗局本级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hAnsi="等线" w:eastAsia="方正书宋_GBK" w:cs="Times New Roman"/>
              </w:rPr>
            </w:pPr>
            <w:r>
              <w:rPr>
                <w:rFonts w:ascii="方正书宋_GBK" w:hAnsi="等线" w:eastAsia="方正书宋_GBK" w:cs="Times New Roman"/>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项目编码</w:t>
            </w:r>
          </w:p>
        </w:tc>
        <w:tc>
          <w:tcPr>
            <w:tcW w:w="2410" w:type="dxa"/>
            <w:gridSpan w:val="2"/>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13062521XCL33V5CF9QL1</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项目名称</w:t>
            </w:r>
          </w:p>
        </w:tc>
        <w:tc>
          <w:tcPr>
            <w:tcW w:w="4281" w:type="dxa"/>
            <w:gridSpan w:val="3"/>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宗教政务管理工作经费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预算规模及资金用途</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预算数</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11200.00</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其中：财政资金</w:t>
            </w:r>
          </w:p>
        </w:tc>
        <w:tc>
          <w:tcPr>
            <w:tcW w:w="130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11200.00</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其他资金</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rPr>
                <w:rFonts w:ascii="等线" w:hAnsi="等线" w:eastAsia="等线" w:cs="Times New Roman"/>
              </w:rPr>
            </w:pPr>
          </w:p>
        </w:tc>
        <w:tc>
          <w:tcPr>
            <w:tcW w:w="8278" w:type="dxa"/>
            <w:gridSpan w:val="6"/>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用于宗教工作的开展，宗教政策的宣传教育，宗教的突发事件，维护宗教工作的稳定。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资金支出计划（%）</w:t>
            </w:r>
          </w:p>
        </w:tc>
        <w:tc>
          <w:tcPr>
            <w:tcW w:w="2410"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3月底</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6月底</w:t>
            </w:r>
          </w:p>
        </w:tc>
        <w:tc>
          <w:tcPr>
            <w:tcW w:w="130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10月底</w:t>
            </w:r>
          </w:p>
        </w:tc>
        <w:tc>
          <w:tcPr>
            <w:tcW w:w="2977"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rPr>
                <w:rFonts w:ascii="等线" w:hAnsi="等线" w:eastAsia="等线" w:cs="Times New Roman"/>
              </w:rPr>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p>
        </w:tc>
        <w:tc>
          <w:tcPr>
            <w:tcW w:w="1587" w:type="dxa"/>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p>
        </w:tc>
        <w:tc>
          <w:tcPr>
            <w:tcW w:w="1304" w:type="dxa"/>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p>
        </w:tc>
        <w:tc>
          <w:tcPr>
            <w:tcW w:w="2977" w:type="dxa"/>
            <w:gridSpan w:val="2"/>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绩效目标</w:t>
            </w:r>
          </w:p>
        </w:tc>
        <w:tc>
          <w:tcPr>
            <w:tcW w:w="8278" w:type="dxa"/>
            <w:gridSpan w:val="6"/>
            <w:tcBorders>
              <w:bottom w:val="nil"/>
            </w:tcBorders>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1.完成宗教基本事务管理</w:t>
            </w:r>
          </w:p>
          <w:p>
            <w:pPr>
              <w:spacing w:line="300" w:lineRule="exact"/>
              <w:jc w:val="left"/>
              <w:rPr>
                <w:rFonts w:ascii="方正书宋_GBK" w:hAnsi="等线" w:eastAsia="方正书宋_GBK" w:cs="Times New Roman"/>
              </w:rPr>
            </w:pPr>
            <w:r>
              <w:rPr>
                <w:rFonts w:ascii="方正书宋_GBK" w:hAnsi="等线" w:eastAsia="方正书宋_GBK" w:cs="Times New Roman"/>
              </w:rPr>
              <w:t>2.加大全区宗教工作的矛盾排查，及时解决各类宗教问题，确保不出现恶性事件，维护宗教工作稳定。</w:t>
            </w:r>
          </w:p>
        </w:tc>
      </w:tr>
    </w:tbl>
    <w:p>
      <w:pPr>
        <w:spacing w:line="14" w:lineRule="exact"/>
        <w:jc w:val="center"/>
        <w:rPr>
          <w:rFonts w:ascii="Times New Roman" w:hAnsi="宋体" w:eastAsia="宋体" w:cs="Times New Roman"/>
        </w:rPr>
      </w:pPr>
      <w:r>
        <w:rPr>
          <w:rFonts w:ascii="方正书宋_GBK" w:hAnsi="等线" w:eastAsia="方正书宋_GBK" w:cs="Times New Roman"/>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一级指标</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二级指标</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三级指标</w:t>
            </w:r>
          </w:p>
        </w:tc>
        <w:tc>
          <w:tcPr>
            <w:tcW w:w="2891"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绩效指标描述</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指标值</w:t>
            </w:r>
          </w:p>
        </w:tc>
        <w:tc>
          <w:tcPr>
            <w:tcW w:w="1701"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产出指标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数量指标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维稳问题解决率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已解决维稳问题占全部维稳问题的比例</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质量指标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完成率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按时间节点完成</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时效指标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及时率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按照要求和计划完成任务</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成本指标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按标准完成率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安标准足额支出完成率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效益指标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社会效益指标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全区大型宗教活动场所检查覆盖率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区较大型宗教场所检查数量占全部比例</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满意度指标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服务对象满意度指标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妥善解决宗教突发事件的满意度</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调查中满意的服务对象占全部调查人数的比率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历史标准</w:t>
            </w:r>
          </w:p>
        </w:tc>
      </w:tr>
    </w:tbl>
    <w:p>
      <w:pPr>
        <w:spacing w:line="300" w:lineRule="exact"/>
        <w:jc w:val="left"/>
        <w:rPr>
          <w:rFonts w:ascii="等线" w:hAnsi="等线" w:eastAsia="等线" w:cs="Times New Roman"/>
        </w:rPr>
        <w:sectPr>
          <w:pgSz w:w="11907" w:h="16839"/>
          <w:pgMar w:top="1984" w:right="1304" w:bottom="1134" w:left="1304" w:header="851" w:footer="992" w:gutter="0"/>
          <w:cols w:space="425" w:num="1"/>
          <w:docGrid w:type="lines" w:linePitch="312" w:charSpace="0"/>
        </w:sectPr>
      </w:pPr>
    </w:p>
    <w:p>
      <w:pPr>
        <w:spacing w:line="300" w:lineRule="exact"/>
        <w:jc w:val="left"/>
        <w:rPr>
          <w:rFonts w:ascii="等线" w:hAnsi="等线" w:eastAsia="等线" w:cs="Times New Roman"/>
        </w:rPr>
      </w:pPr>
    </w:p>
    <w:p>
      <w:pPr>
        <w:ind w:firstLine="562" w:firstLineChars="200"/>
        <w:jc w:val="left"/>
        <w:outlineLvl w:val="3"/>
        <w:rPr>
          <w:rFonts w:ascii="Times New Roman" w:hAnsi="宋体" w:eastAsia="宋体" w:cs="Times New Roman"/>
          <w:b/>
          <w:sz w:val="28"/>
        </w:rPr>
      </w:pPr>
      <w:bookmarkStart w:id="8" w:name="_Toc66796138"/>
      <w:r>
        <w:rPr>
          <w:rFonts w:ascii="方正仿宋_GBK" w:hAnsi="等线" w:eastAsia="方正仿宋_GBK" w:cs="Times New Roman"/>
          <w:b/>
          <w:sz w:val="28"/>
        </w:rPr>
        <w:t>6.民族基本事务管理工作经费绩效目标表</w:t>
      </w:r>
      <w:bookmarkEnd w:id="8"/>
      <w:r>
        <w:rPr>
          <w:rFonts w:ascii="方正仿宋_GBK" w:hAnsi="等线" w:eastAsia="方正仿宋_GBK" w:cs="Times New Roman"/>
          <w:b/>
          <w:sz w:val="28"/>
        </w:rPr>
        <w:fldChar w:fldCharType="begin"/>
      </w:r>
      <w:r>
        <w:rPr>
          <w:rFonts w:ascii="方正仿宋_GBK" w:hAnsi="等线" w:eastAsia="方正仿宋_GBK" w:cs="Times New Roman"/>
          <w:b/>
          <w:sz w:val="28"/>
        </w:rPr>
        <w:instrText xml:space="preserve"> TC 6、民族基本事务管理工作经费绩效目标表 \f C \l 1 </w:instrText>
      </w:r>
      <w:r>
        <w:rPr>
          <w:rFonts w:ascii="方正仿宋_GBK" w:hAnsi="等线" w:eastAsia="方正仿宋_GBK" w:cs="Times New Roman"/>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hAnsi="等线" w:eastAsia="方正书宋_GBK" w:cs="Times New Roman"/>
                <w:b/>
              </w:rPr>
            </w:pPr>
            <w:r>
              <w:rPr>
                <w:rFonts w:ascii="方正书宋_GBK" w:hAnsi="等线" w:eastAsia="方正书宋_GBK" w:cs="Times New Roman"/>
                <w:b/>
              </w:rPr>
              <w:t>308001民宗局本级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hAnsi="等线" w:eastAsia="方正书宋_GBK" w:cs="Times New Roman"/>
              </w:rPr>
            </w:pPr>
            <w:r>
              <w:rPr>
                <w:rFonts w:ascii="方正书宋_GBK" w:hAnsi="等线" w:eastAsia="方正书宋_GBK" w:cs="Times New Roman"/>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项目编码</w:t>
            </w:r>
          </w:p>
        </w:tc>
        <w:tc>
          <w:tcPr>
            <w:tcW w:w="2410" w:type="dxa"/>
            <w:gridSpan w:val="2"/>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13062521ZP70M1F7CAIW4</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项目名称</w:t>
            </w:r>
          </w:p>
        </w:tc>
        <w:tc>
          <w:tcPr>
            <w:tcW w:w="4281" w:type="dxa"/>
            <w:gridSpan w:val="3"/>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民族基本事务管理工作经费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预算规模及资金用途</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预算数</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12000.00</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其中：财政资金</w:t>
            </w:r>
          </w:p>
        </w:tc>
        <w:tc>
          <w:tcPr>
            <w:tcW w:w="130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12000.00</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其他资金</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rPr>
                <w:rFonts w:ascii="等线" w:hAnsi="等线" w:eastAsia="等线" w:cs="Times New Roman"/>
              </w:rPr>
            </w:pPr>
          </w:p>
        </w:tc>
        <w:tc>
          <w:tcPr>
            <w:tcW w:w="8278" w:type="dxa"/>
            <w:gridSpan w:val="6"/>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用于贯彻执行国家关于少数民族工作的方针政策，重大节日“开斋节”对少数民族村和各清真寺进行慰问，发放慰问金和慰问品。</w:t>
            </w:r>
          </w:p>
          <w:p>
            <w:pPr>
              <w:spacing w:line="300" w:lineRule="exact"/>
              <w:jc w:val="left"/>
              <w:rPr>
                <w:rFonts w:ascii="方正书宋_GBK" w:hAnsi="等线"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资金支出计划（%）</w:t>
            </w:r>
          </w:p>
        </w:tc>
        <w:tc>
          <w:tcPr>
            <w:tcW w:w="2410"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3月底</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6月底</w:t>
            </w:r>
          </w:p>
        </w:tc>
        <w:tc>
          <w:tcPr>
            <w:tcW w:w="130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10月底</w:t>
            </w:r>
          </w:p>
        </w:tc>
        <w:tc>
          <w:tcPr>
            <w:tcW w:w="2977"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rPr>
                <w:rFonts w:ascii="等线" w:hAnsi="等线" w:eastAsia="等线" w:cs="Times New Roman"/>
              </w:rPr>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p>
        </w:tc>
        <w:tc>
          <w:tcPr>
            <w:tcW w:w="1587" w:type="dxa"/>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p>
        </w:tc>
        <w:tc>
          <w:tcPr>
            <w:tcW w:w="1304" w:type="dxa"/>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p>
        </w:tc>
        <w:tc>
          <w:tcPr>
            <w:tcW w:w="2977" w:type="dxa"/>
            <w:gridSpan w:val="2"/>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绩效目标</w:t>
            </w:r>
          </w:p>
        </w:tc>
        <w:tc>
          <w:tcPr>
            <w:tcW w:w="8278" w:type="dxa"/>
            <w:gridSpan w:val="6"/>
            <w:tcBorders>
              <w:bottom w:val="nil"/>
            </w:tcBorders>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1.加强民族基本事务管理</w:t>
            </w:r>
          </w:p>
          <w:p>
            <w:pPr>
              <w:spacing w:line="300" w:lineRule="exact"/>
              <w:jc w:val="left"/>
              <w:rPr>
                <w:rFonts w:ascii="方正书宋_GBK" w:hAnsi="等线" w:eastAsia="方正书宋_GBK" w:cs="Times New Roman"/>
              </w:rPr>
            </w:pPr>
            <w:r>
              <w:rPr>
                <w:rFonts w:ascii="方正书宋_GBK" w:hAnsi="等线" w:eastAsia="方正书宋_GBK" w:cs="Times New Roman"/>
              </w:rPr>
              <w:t>2.重大节日“开斋节”对少数民族村和清真寺进行慰问</w:t>
            </w:r>
          </w:p>
        </w:tc>
      </w:tr>
    </w:tbl>
    <w:p>
      <w:pPr>
        <w:spacing w:line="14" w:lineRule="exact"/>
        <w:jc w:val="center"/>
        <w:rPr>
          <w:rFonts w:ascii="Times New Roman" w:hAnsi="宋体" w:eastAsia="宋体" w:cs="Times New Roman"/>
        </w:rPr>
      </w:pPr>
      <w:r>
        <w:rPr>
          <w:rFonts w:ascii="方正书宋_GBK" w:hAnsi="等线" w:eastAsia="方正书宋_GBK" w:cs="Times New Roman"/>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一级指标</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二级指标</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三级指标</w:t>
            </w:r>
          </w:p>
        </w:tc>
        <w:tc>
          <w:tcPr>
            <w:tcW w:w="2891"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绩效指标描述</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指标值</w:t>
            </w:r>
          </w:p>
        </w:tc>
        <w:tc>
          <w:tcPr>
            <w:tcW w:w="1701"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产出指标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数量指标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民族法律政策宣传普及率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民族法律政策宣传</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质量指标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按期完成率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按时完成</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时效指标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及时率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按照时间节点完成</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成本指标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预算控制数</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不超年初预算数</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效益指标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社会效益指标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慰问少数民族村和清真寺覆盖率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慰问清真寺占全区清真寺</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满意度指标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服务对象满意度指标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受慰问的教职人员</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教职人员的满意程度</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历史标准</w:t>
            </w:r>
          </w:p>
        </w:tc>
      </w:tr>
    </w:tbl>
    <w:p>
      <w:pPr>
        <w:spacing w:line="360" w:lineRule="auto"/>
        <w:ind w:firstLine="640" w:firstLineChars="200"/>
        <w:rPr>
          <w:rFonts w:ascii="仿宋" w:hAnsi="仿宋" w:eastAsia="仿宋"/>
          <w:sz w:val="32"/>
          <w:szCs w:val="32"/>
        </w:rPr>
      </w:pPr>
    </w:p>
    <w:p>
      <w:pPr>
        <w:spacing w:line="360" w:lineRule="auto"/>
        <w:ind w:firstLine="640" w:firstLineChars="200"/>
        <w:rPr>
          <w:rFonts w:ascii="仿宋" w:hAnsi="仿宋" w:eastAsia="仿宋"/>
          <w:sz w:val="32"/>
          <w:szCs w:val="32"/>
        </w:rPr>
        <w:sectPr>
          <w:pgSz w:w="11907" w:h="16839"/>
          <w:pgMar w:top="1984" w:right="1304" w:bottom="1134" w:left="1304" w:header="851" w:footer="992" w:gutter="0"/>
          <w:cols w:space="425" w:num="1"/>
          <w:docGrid w:type="lines" w:linePitch="312" w:charSpace="0"/>
        </w:sectPr>
      </w:pPr>
    </w:p>
    <w:p/>
    <w:p>
      <w:pPr>
        <w:jc w:val="center"/>
        <w:outlineLvl w:val="0"/>
        <w:rPr>
          <w:rFonts w:ascii="方正小标宋_GBK" w:eastAsia="方正小标宋_GBK"/>
          <w:sz w:val="44"/>
        </w:rPr>
      </w:pPr>
      <w:r>
        <w:rPr>
          <w:rFonts w:hint="eastAsia" w:ascii="方正小标宋_GBK" w:eastAsia="方正小标宋_GBK"/>
          <w:sz w:val="44"/>
        </w:rPr>
        <w:t>第六部分：政府采购预算情况</w:t>
      </w:r>
    </w:p>
    <w:p>
      <w:pPr>
        <w:spacing w:line="360" w:lineRule="auto"/>
        <w:ind w:firstLine="640" w:firstLineChars="200"/>
        <w:rPr>
          <w:rFonts w:ascii="仿宋" w:hAnsi="仿宋" w:eastAsia="仿宋"/>
          <w:sz w:val="32"/>
          <w:szCs w:val="32"/>
        </w:rPr>
      </w:pPr>
      <w:r>
        <w:rPr>
          <w:rFonts w:ascii="仿宋" w:hAnsi="仿宋" w:eastAsia="仿宋"/>
          <w:sz w:val="32"/>
          <w:szCs w:val="32"/>
        </w:rPr>
        <w:t>2021年，我</w:t>
      </w:r>
      <w:r>
        <w:rPr>
          <w:rFonts w:hint="eastAsia" w:ascii="仿宋" w:hAnsi="仿宋" w:eastAsia="仿宋"/>
          <w:sz w:val="32"/>
          <w:szCs w:val="32"/>
          <w:lang w:eastAsia="zh-CN"/>
        </w:rPr>
        <w:t>单位</w:t>
      </w:r>
      <w:r>
        <w:rPr>
          <w:rFonts w:ascii="仿宋" w:hAnsi="仿宋" w:eastAsia="仿宋"/>
          <w:sz w:val="32"/>
          <w:szCs w:val="32"/>
        </w:rPr>
        <w:t>无政府采购预算，空表列示。</w:t>
      </w:r>
    </w:p>
    <w:p>
      <w:pPr>
        <w:spacing w:line="360" w:lineRule="auto"/>
        <w:ind w:firstLine="640" w:firstLineChars="200"/>
        <w:rPr>
          <w:rFonts w:ascii="仿宋" w:hAnsi="仿宋" w:eastAsia="仿宋"/>
          <w:sz w:val="32"/>
          <w:szCs w:val="32"/>
        </w:rPr>
      </w:pPr>
      <w:r>
        <w:rPr>
          <w:rFonts w:hint="eastAsia" w:ascii="仿宋" w:hAnsi="仿宋" w:eastAsia="仿宋"/>
          <w:sz w:val="32"/>
          <w:szCs w:val="32"/>
        </w:rPr>
        <w:t>附</w:t>
      </w:r>
      <w:r>
        <w:rPr>
          <w:rFonts w:hint="eastAsia" w:ascii="仿宋" w:hAnsi="仿宋" w:eastAsia="仿宋"/>
          <w:sz w:val="32"/>
          <w:szCs w:val="32"/>
          <w:lang w:eastAsia="zh-CN"/>
        </w:rPr>
        <w:t>单位</w:t>
      </w:r>
      <w:r>
        <w:rPr>
          <w:rFonts w:hint="eastAsia" w:ascii="仿宋" w:hAnsi="仿宋" w:eastAsia="仿宋"/>
          <w:sz w:val="32"/>
          <w:szCs w:val="32"/>
        </w:rPr>
        <w:t>政府采购预算表空表。</w:t>
      </w:r>
    </w:p>
    <w:p>
      <w:pPr>
        <w:spacing w:line="360" w:lineRule="auto"/>
        <w:ind w:firstLine="640" w:firstLineChars="200"/>
        <w:rPr>
          <w:rFonts w:hint="eastAsia" w:ascii="仿宋" w:hAnsi="仿宋" w:eastAsia="仿宋"/>
          <w:sz w:val="32"/>
          <w:szCs w:val="32"/>
        </w:rPr>
      </w:pPr>
    </w:p>
    <w:p>
      <w:pPr>
        <w:spacing w:line="360" w:lineRule="auto"/>
        <w:ind w:firstLine="640" w:firstLineChars="200"/>
        <w:rPr>
          <w:rFonts w:hint="eastAsia" w:ascii="仿宋" w:hAnsi="仿宋" w:eastAsia="仿宋"/>
          <w:sz w:val="32"/>
          <w:szCs w:val="32"/>
        </w:rPr>
        <w:sectPr>
          <w:footerReference r:id="rId3" w:type="default"/>
          <w:pgSz w:w="11906" w:h="16838"/>
          <w:pgMar w:top="1440" w:right="1800" w:bottom="1440" w:left="1800" w:header="851" w:footer="992" w:gutter="0"/>
          <w:cols w:space="425" w:num="1"/>
          <w:docGrid w:type="lines" w:linePitch="312" w:charSpace="0"/>
        </w:sectPr>
      </w:pPr>
    </w:p>
    <w:p>
      <w:pPr>
        <w:jc w:val="center"/>
        <w:outlineLvl w:val="1"/>
        <w:rPr>
          <w:rFonts w:ascii="Times New Roman" w:hAnsi="宋体" w:eastAsia="宋体" w:cs="Times New Roman"/>
          <w:sz w:val="32"/>
        </w:rPr>
      </w:pPr>
      <w:bookmarkStart w:id="9" w:name="_Toc69809617"/>
      <w:r>
        <w:rPr>
          <w:rFonts w:hint="eastAsia" w:ascii="方正小标宋_GBK" w:hAnsi="等线" w:eastAsia="方正小标宋_GBK" w:cs="Times New Roman"/>
          <w:sz w:val="32"/>
          <w:lang w:eastAsia="zh-CN"/>
        </w:rPr>
        <w:t>单位</w:t>
      </w:r>
      <w:r>
        <w:rPr>
          <w:rFonts w:ascii="方正小标宋_GBK" w:hAnsi="等线" w:eastAsia="方正小标宋_GBK" w:cs="Times New Roman"/>
          <w:sz w:val="32"/>
        </w:rPr>
        <w:t>政府采购预算</w:t>
      </w:r>
      <w:bookmarkEnd w:id="9"/>
    </w:p>
    <w:tbl>
      <w:tblPr>
        <w:tblStyle w:val="5"/>
        <w:tblW w:w="1550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4"/>
        <w:gridCol w:w="1134"/>
        <w:gridCol w:w="1531"/>
        <w:gridCol w:w="1531"/>
        <w:gridCol w:w="709"/>
        <w:gridCol w:w="907"/>
        <w:gridCol w:w="907"/>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8703" w:type="dxa"/>
            <w:gridSpan w:val="7"/>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hAnsi="等线" w:eastAsia="方正小标宋_GBK" w:cs="Times New Roman"/>
                <w:sz w:val="24"/>
              </w:rPr>
            </w:pPr>
            <w:r>
              <w:rPr>
                <w:rFonts w:hint="eastAsia" w:ascii="方正小标宋_GBK" w:hAnsi="等线" w:eastAsia="方正小标宋_GBK" w:cs="Times New Roman"/>
                <w:sz w:val="24"/>
              </w:rPr>
              <w:t>保定市徐水区民族宗教事务局</w:t>
            </w:r>
            <w:r>
              <w:rPr>
                <w:rFonts w:ascii="方正小标宋_GBK" w:hAnsi="等线" w:eastAsia="方正小标宋_GBK" w:cs="Times New Roman"/>
                <w:sz w:val="24"/>
              </w:rPr>
              <w:t>局</w:t>
            </w:r>
          </w:p>
        </w:tc>
        <w:tc>
          <w:tcPr>
            <w:tcW w:w="6804"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hAnsi="等线" w:eastAsia="方正书宋_GBK" w:cs="Times New Roman"/>
                <w:sz w:val="24"/>
              </w:rPr>
            </w:pPr>
            <w:r>
              <w:rPr>
                <w:rFonts w:ascii="方正书宋_GBK" w:hAnsi="等线" w:eastAsia="方正书宋_GBK" w:cs="Times New Roman"/>
                <w:sz w:val="24"/>
              </w:rPr>
              <w:t>单位：</w:t>
            </w:r>
            <w:r>
              <w:rPr>
                <w:rFonts w:hint="eastAsia" w:ascii="方正书宋_GBK" w:hAnsi="等线" w:eastAsia="方正书宋_GBK" w:cs="Times New Roman"/>
                <w:sz w:val="24"/>
              </w:rPr>
              <w:t>万</w:t>
            </w:r>
            <w:r>
              <w:rPr>
                <w:rFonts w:ascii="方正书宋_GBK" w:hAnsi="等线" w:eastAsia="方正书宋_GBK" w:cs="Times New Roman"/>
                <w:sz w:val="24"/>
              </w:rP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3118"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政府采购项目来源</w:t>
            </w:r>
          </w:p>
        </w:tc>
        <w:tc>
          <w:tcPr>
            <w:tcW w:w="1531"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采购物品名称</w:t>
            </w:r>
          </w:p>
        </w:tc>
        <w:tc>
          <w:tcPr>
            <w:tcW w:w="1531"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政府采购目录序号</w:t>
            </w:r>
          </w:p>
        </w:tc>
        <w:tc>
          <w:tcPr>
            <w:tcW w:w="709"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计量  单位</w:t>
            </w:r>
          </w:p>
        </w:tc>
        <w:tc>
          <w:tcPr>
            <w:tcW w:w="907"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数量</w:t>
            </w:r>
          </w:p>
        </w:tc>
        <w:tc>
          <w:tcPr>
            <w:tcW w:w="907"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单价</w:t>
            </w:r>
          </w:p>
        </w:tc>
        <w:tc>
          <w:tcPr>
            <w:tcW w:w="6804" w:type="dxa"/>
            <w:gridSpan w:val="6"/>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政府采购金额（当年</w:t>
            </w:r>
            <w:r>
              <w:rPr>
                <w:rFonts w:hint="eastAsia" w:ascii="方正书宋_GBK" w:hAnsi="等线" w:eastAsia="方正书宋_GBK" w:cs="Times New Roman"/>
                <w:b/>
                <w:lang w:eastAsia="zh-CN"/>
              </w:rPr>
              <w:t>单位</w:t>
            </w:r>
            <w:r>
              <w:rPr>
                <w:rFonts w:ascii="方正书宋_GBK" w:hAnsi="等线" w:eastAsia="方正书宋_GBK" w:cs="Times New Roman"/>
                <w:b/>
              </w:rPr>
              <w:t>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8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项目名称</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预算资金</w:t>
            </w:r>
          </w:p>
        </w:tc>
        <w:tc>
          <w:tcPr>
            <w:tcW w:w="1531" w:type="dxa"/>
            <w:vMerge w:val="continue"/>
            <w:shd w:val="clear" w:color="auto" w:fill="auto"/>
            <w:vAlign w:val="center"/>
          </w:tcPr>
          <w:p>
            <w:pPr>
              <w:spacing w:line="300" w:lineRule="exact"/>
              <w:jc w:val="left"/>
              <w:outlineLvl w:val="1"/>
              <w:rPr>
                <w:rFonts w:ascii="Times New Roman" w:hAnsi="等线" w:eastAsia="方正仿宋_GBK" w:cs="Times New Roman"/>
                <w:sz w:val="28"/>
              </w:rPr>
            </w:pPr>
          </w:p>
        </w:tc>
        <w:tc>
          <w:tcPr>
            <w:tcW w:w="1531" w:type="dxa"/>
            <w:vMerge w:val="continue"/>
            <w:shd w:val="clear" w:color="auto" w:fill="auto"/>
            <w:vAlign w:val="center"/>
          </w:tcPr>
          <w:p>
            <w:pPr>
              <w:spacing w:line="300" w:lineRule="exact"/>
              <w:jc w:val="left"/>
              <w:outlineLvl w:val="1"/>
              <w:rPr>
                <w:rFonts w:ascii="Times New Roman" w:hAnsi="等线" w:eastAsia="方正仿宋_GBK" w:cs="Times New Roman"/>
                <w:sz w:val="28"/>
              </w:rPr>
            </w:pPr>
          </w:p>
        </w:tc>
        <w:tc>
          <w:tcPr>
            <w:tcW w:w="709" w:type="dxa"/>
            <w:vMerge w:val="continue"/>
            <w:shd w:val="clear" w:color="auto" w:fill="auto"/>
            <w:vAlign w:val="center"/>
          </w:tcPr>
          <w:p>
            <w:pPr>
              <w:spacing w:line="300" w:lineRule="exact"/>
              <w:jc w:val="left"/>
              <w:outlineLvl w:val="1"/>
              <w:rPr>
                <w:rFonts w:ascii="Times New Roman" w:hAnsi="等线" w:eastAsia="方正仿宋_GBK" w:cs="Times New Roman"/>
                <w:sz w:val="28"/>
              </w:rPr>
            </w:pPr>
          </w:p>
        </w:tc>
        <w:tc>
          <w:tcPr>
            <w:tcW w:w="907" w:type="dxa"/>
            <w:vMerge w:val="continue"/>
            <w:shd w:val="clear" w:color="auto" w:fill="auto"/>
            <w:vAlign w:val="center"/>
          </w:tcPr>
          <w:p>
            <w:pPr>
              <w:spacing w:line="300" w:lineRule="exact"/>
              <w:jc w:val="left"/>
              <w:outlineLvl w:val="1"/>
              <w:rPr>
                <w:rFonts w:ascii="Times New Roman" w:hAnsi="等线" w:eastAsia="方正仿宋_GBK" w:cs="Times New Roman"/>
                <w:sz w:val="28"/>
              </w:rPr>
            </w:pPr>
          </w:p>
        </w:tc>
        <w:tc>
          <w:tcPr>
            <w:tcW w:w="907" w:type="dxa"/>
            <w:vMerge w:val="continue"/>
            <w:shd w:val="clear" w:color="auto" w:fill="auto"/>
            <w:vAlign w:val="center"/>
          </w:tcPr>
          <w:p>
            <w:pPr>
              <w:spacing w:line="300" w:lineRule="exact"/>
              <w:jc w:val="left"/>
              <w:outlineLvl w:val="1"/>
              <w:rPr>
                <w:rFonts w:ascii="Times New Roman" w:hAnsi="等线" w:eastAsia="方正仿宋_GBK" w:cs="Times New Roman"/>
                <w:sz w:val="28"/>
              </w:rPr>
            </w:pP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合计</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一般公共预算拨款</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基金预算拨款</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国有资本经营预算拨款</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财政专户核拨</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合  计</w:t>
            </w:r>
          </w:p>
        </w:tc>
        <w:tc>
          <w:tcPr>
            <w:tcW w:w="1134" w:type="dxa"/>
            <w:shd w:val="clear" w:color="auto" w:fill="auto"/>
            <w:vAlign w:val="center"/>
          </w:tcPr>
          <w:p>
            <w:pPr>
              <w:spacing w:line="300" w:lineRule="exact"/>
              <w:jc w:val="right"/>
              <w:rPr>
                <w:rFonts w:ascii="方正书宋_GBK" w:hAnsi="等线" w:eastAsia="方正书宋_GBK" w:cs="Times New Roman"/>
                <w:b/>
              </w:rPr>
            </w:pPr>
          </w:p>
        </w:tc>
        <w:tc>
          <w:tcPr>
            <w:tcW w:w="1531" w:type="dxa"/>
            <w:shd w:val="clear" w:color="auto" w:fill="auto"/>
            <w:vAlign w:val="center"/>
          </w:tcPr>
          <w:p>
            <w:pPr>
              <w:spacing w:line="300" w:lineRule="exact"/>
              <w:jc w:val="left"/>
              <w:rPr>
                <w:rFonts w:ascii="方正书宋_GBK" w:hAnsi="等线" w:eastAsia="方正书宋_GBK" w:cs="Times New Roman"/>
                <w:b/>
              </w:rPr>
            </w:pPr>
          </w:p>
        </w:tc>
        <w:tc>
          <w:tcPr>
            <w:tcW w:w="1531" w:type="dxa"/>
            <w:shd w:val="clear" w:color="auto" w:fill="auto"/>
            <w:vAlign w:val="center"/>
          </w:tcPr>
          <w:p>
            <w:pPr>
              <w:spacing w:line="300" w:lineRule="exact"/>
              <w:jc w:val="left"/>
              <w:rPr>
                <w:rFonts w:ascii="方正书宋_GBK" w:hAnsi="等线" w:eastAsia="方正书宋_GBK" w:cs="Times New Roman"/>
                <w:b/>
              </w:rPr>
            </w:pPr>
          </w:p>
        </w:tc>
        <w:tc>
          <w:tcPr>
            <w:tcW w:w="709" w:type="dxa"/>
            <w:shd w:val="clear" w:color="auto" w:fill="auto"/>
            <w:vAlign w:val="center"/>
          </w:tcPr>
          <w:p>
            <w:pPr>
              <w:spacing w:line="300" w:lineRule="exact"/>
              <w:jc w:val="center"/>
              <w:rPr>
                <w:rFonts w:ascii="方正书宋_GBK" w:hAnsi="等线" w:eastAsia="方正书宋_GBK" w:cs="Times New Roman"/>
                <w:b/>
              </w:rPr>
            </w:pPr>
          </w:p>
        </w:tc>
        <w:tc>
          <w:tcPr>
            <w:tcW w:w="907" w:type="dxa"/>
            <w:shd w:val="clear" w:color="auto" w:fill="auto"/>
            <w:vAlign w:val="center"/>
          </w:tcPr>
          <w:p>
            <w:pPr>
              <w:spacing w:line="300" w:lineRule="exact"/>
              <w:jc w:val="right"/>
              <w:rPr>
                <w:rFonts w:ascii="方正书宋_GBK" w:hAnsi="等线" w:eastAsia="方正书宋_GBK" w:cs="Times New Roman"/>
                <w:b/>
              </w:rPr>
            </w:pPr>
          </w:p>
        </w:tc>
        <w:tc>
          <w:tcPr>
            <w:tcW w:w="907" w:type="dxa"/>
            <w:shd w:val="clear" w:color="auto" w:fill="auto"/>
            <w:vAlign w:val="center"/>
          </w:tcPr>
          <w:p>
            <w:pPr>
              <w:spacing w:line="300" w:lineRule="exact"/>
              <w:jc w:val="right"/>
              <w:rPr>
                <w:rFonts w:ascii="方正书宋_GBK" w:hAnsi="等线" w:eastAsia="方正书宋_GBK" w:cs="Times New Roman"/>
                <w:b/>
              </w:rPr>
            </w:pPr>
          </w:p>
        </w:tc>
        <w:tc>
          <w:tcPr>
            <w:tcW w:w="1134" w:type="dxa"/>
            <w:shd w:val="clear" w:color="auto" w:fill="auto"/>
            <w:vAlign w:val="center"/>
          </w:tcPr>
          <w:p>
            <w:pPr>
              <w:spacing w:line="300" w:lineRule="exact"/>
              <w:jc w:val="right"/>
              <w:rPr>
                <w:rFonts w:ascii="方正书宋_GBK" w:hAnsi="等线" w:eastAsia="方正书宋_GBK" w:cs="Times New Roman"/>
                <w:b/>
              </w:rPr>
            </w:pPr>
          </w:p>
        </w:tc>
        <w:tc>
          <w:tcPr>
            <w:tcW w:w="1134" w:type="dxa"/>
            <w:shd w:val="clear" w:color="auto" w:fill="auto"/>
            <w:vAlign w:val="center"/>
          </w:tcPr>
          <w:p>
            <w:pPr>
              <w:spacing w:line="300" w:lineRule="exact"/>
              <w:jc w:val="right"/>
              <w:rPr>
                <w:rFonts w:ascii="方正书宋_GBK" w:hAnsi="等线" w:eastAsia="方正书宋_GBK" w:cs="Times New Roman"/>
                <w:b/>
              </w:rPr>
            </w:pPr>
          </w:p>
        </w:tc>
        <w:tc>
          <w:tcPr>
            <w:tcW w:w="1134" w:type="dxa"/>
            <w:shd w:val="clear" w:color="auto" w:fill="auto"/>
            <w:vAlign w:val="center"/>
          </w:tcPr>
          <w:p>
            <w:pPr>
              <w:spacing w:line="300" w:lineRule="exact"/>
              <w:jc w:val="right"/>
              <w:rPr>
                <w:rFonts w:ascii="方正书宋_GBK" w:hAnsi="等线" w:eastAsia="方正书宋_GBK" w:cs="Times New Roman"/>
                <w:b/>
              </w:rPr>
            </w:pPr>
          </w:p>
        </w:tc>
        <w:tc>
          <w:tcPr>
            <w:tcW w:w="1134" w:type="dxa"/>
            <w:shd w:val="clear" w:color="auto" w:fill="auto"/>
            <w:vAlign w:val="center"/>
          </w:tcPr>
          <w:p>
            <w:pPr>
              <w:spacing w:line="300" w:lineRule="exact"/>
              <w:jc w:val="right"/>
              <w:rPr>
                <w:rFonts w:ascii="方正书宋_GBK" w:hAnsi="等线" w:eastAsia="方正书宋_GBK" w:cs="Times New Roman"/>
                <w:b/>
              </w:rPr>
            </w:pPr>
          </w:p>
        </w:tc>
        <w:tc>
          <w:tcPr>
            <w:tcW w:w="1134" w:type="dxa"/>
            <w:shd w:val="clear" w:color="auto" w:fill="auto"/>
            <w:vAlign w:val="center"/>
          </w:tcPr>
          <w:p>
            <w:pPr>
              <w:spacing w:line="300" w:lineRule="exact"/>
              <w:jc w:val="right"/>
              <w:rPr>
                <w:rFonts w:ascii="方正书宋_GBK" w:hAnsi="等线" w:eastAsia="方正书宋_GBK" w:cs="Times New Roman"/>
                <w:b/>
              </w:rPr>
            </w:pPr>
          </w:p>
        </w:tc>
        <w:tc>
          <w:tcPr>
            <w:tcW w:w="1134" w:type="dxa"/>
            <w:shd w:val="clear" w:color="auto" w:fill="auto"/>
            <w:vAlign w:val="center"/>
          </w:tcPr>
          <w:p>
            <w:pPr>
              <w:spacing w:line="300" w:lineRule="exact"/>
              <w:jc w:val="right"/>
              <w:rPr>
                <w:rFonts w:ascii="方正书宋_GBK" w:hAnsi="等线" w:eastAsia="方正书宋_GBK"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hAnsi="等线" w:eastAsia="方正书宋_GBK" w:cs="Times New Roman"/>
                <w:b/>
              </w:rPr>
            </w:pPr>
          </w:p>
        </w:tc>
        <w:tc>
          <w:tcPr>
            <w:tcW w:w="1134" w:type="dxa"/>
            <w:shd w:val="clear" w:color="auto" w:fill="auto"/>
            <w:vAlign w:val="center"/>
          </w:tcPr>
          <w:p>
            <w:pPr>
              <w:spacing w:line="300" w:lineRule="exact"/>
              <w:jc w:val="right"/>
              <w:rPr>
                <w:rFonts w:ascii="方正书宋_GBK" w:hAnsi="等线" w:eastAsia="方正书宋_GBK" w:cs="Times New Roman"/>
                <w:b/>
              </w:rPr>
            </w:pPr>
          </w:p>
        </w:tc>
        <w:tc>
          <w:tcPr>
            <w:tcW w:w="1531" w:type="dxa"/>
            <w:shd w:val="clear" w:color="auto" w:fill="auto"/>
            <w:vAlign w:val="center"/>
          </w:tcPr>
          <w:p>
            <w:pPr>
              <w:spacing w:line="300" w:lineRule="exact"/>
              <w:jc w:val="left"/>
              <w:rPr>
                <w:rFonts w:ascii="方正书宋_GBK" w:hAnsi="等线" w:eastAsia="方正书宋_GBK" w:cs="Times New Roman"/>
                <w:b/>
              </w:rPr>
            </w:pPr>
          </w:p>
        </w:tc>
        <w:tc>
          <w:tcPr>
            <w:tcW w:w="1531" w:type="dxa"/>
            <w:shd w:val="clear" w:color="auto" w:fill="auto"/>
            <w:vAlign w:val="center"/>
          </w:tcPr>
          <w:p>
            <w:pPr>
              <w:spacing w:line="300" w:lineRule="exact"/>
              <w:jc w:val="left"/>
              <w:rPr>
                <w:rFonts w:ascii="方正书宋_GBK" w:hAnsi="等线" w:eastAsia="方正书宋_GBK" w:cs="Times New Roman"/>
                <w:b/>
              </w:rPr>
            </w:pPr>
          </w:p>
        </w:tc>
        <w:tc>
          <w:tcPr>
            <w:tcW w:w="709" w:type="dxa"/>
            <w:shd w:val="clear" w:color="auto" w:fill="auto"/>
            <w:vAlign w:val="center"/>
          </w:tcPr>
          <w:p>
            <w:pPr>
              <w:spacing w:line="300" w:lineRule="exact"/>
              <w:jc w:val="center"/>
              <w:rPr>
                <w:rFonts w:ascii="方正书宋_GBK" w:hAnsi="等线" w:eastAsia="方正书宋_GBK" w:cs="Times New Roman"/>
                <w:b/>
              </w:rPr>
            </w:pPr>
          </w:p>
        </w:tc>
        <w:tc>
          <w:tcPr>
            <w:tcW w:w="907" w:type="dxa"/>
            <w:shd w:val="clear" w:color="auto" w:fill="auto"/>
            <w:vAlign w:val="center"/>
          </w:tcPr>
          <w:p>
            <w:pPr>
              <w:spacing w:line="300" w:lineRule="exact"/>
              <w:jc w:val="right"/>
              <w:rPr>
                <w:rFonts w:ascii="方正书宋_GBK" w:hAnsi="等线" w:eastAsia="方正书宋_GBK" w:cs="Times New Roman"/>
                <w:b/>
              </w:rPr>
            </w:pPr>
          </w:p>
        </w:tc>
        <w:tc>
          <w:tcPr>
            <w:tcW w:w="907" w:type="dxa"/>
            <w:shd w:val="clear" w:color="auto" w:fill="auto"/>
            <w:vAlign w:val="center"/>
          </w:tcPr>
          <w:p>
            <w:pPr>
              <w:spacing w:line="300" w:lineRule="exact"/>
              <w:jc w:val="right"/>
              <w:rPr>
                <w:rFonts w:ascii="方正书宋_GBK" w:hAnsi="等线" w:eastAsia="方正书宋_GBK" w:cs="Times New Roman"/>
                <w:b/>
              </w:rPr>
            </w:pPr>
          </w:p>
        </w:tc>
        <w:tc>
          <w:tcPr>
            <w:tcW w:w="1134" w:type="dxa"/>
            <w:shd w:val="clear" w:color="auto" w:fill="auto"/>
            <w:vAlign w:val="center"/>
          </w:tcPr>
          <w:p>
            <w:pPr>
              <w:spacing w:line="300" w:lineRule="exact"/>
              <w:jc w:val="right"/>
              <w:rPr>
                <w:rFonts w:ascii="方正书宋_GBK" w:hAnsi="等线" w:eastAsia="方正书宋_GBK" w:cs="Times New Roman"/>
                <w:b/>
              </w:rPr>
            </w:pPr>
          </w:p>
        </w:tc>
        <w:tc>
          <w:tcPr>
            <w:tcW w:w="1134" w:type="dxa"/>
            <w:shd w:val="clear" w:color="auto" w:fill="auto"/>
            <w:vAlign w:val="center"/>
          </w:tcPr>
          <w:p>
            <w:pPr>
              <w:spacing w:line="300" w:lineRule="exact"/>
              <w:jc w:val="right"/>
              <w:rPr>
                <w:rFonts w:ascii="方正书宋_GBK" w:hAnsi="等线" w:eastAsia="方正书宋_GBK" w:cs="Times New Roman"/>
                <w:b/>
              </w:rPr>
            </w:pPr>
          </w:p>
        </w:tc>
        <w:tc>
          <w:tcPr>
            <w:tcW w:w="1134" w:type="dxa"/>
            <w:shd w:val="clear" w:color="auto" w:fill="auto"/>
            <w:vAlign w:val="center"/>
          </w:tcPr>
          <w:p>
            <w:pPr>
              <w:spacing w:line="300" w:lineRule="exact"/>
              <w:jc w:val="right"/>
              <w:rPr>
                <w:rFonts w:ascii="方正书宋_GBK" w:hAnsi="等线" w:eastAsia="方正书宋_GBK" w:cs="Times New Roman"/>
                <w:b/>
              </w:rPr>
            </w:pPr>
          </w:p>
        </w:tc>
        <w:tc>
          <w:tcPr>
            <w:tcW w:w="1134" w:type="dxa"/>
            <w:shd w:val="clear" w:color="auto" w:fill="auto"/>
            <w:vAlign w:val="center"/>
          </w:tcPr>
          <w:p>
            <w:pPr>
              <w:spacing w:line="300" w:lineRule="exact"/>
              <w:jc w:val="right"/>
              <w:rPr>
                <w:rFonts w:ascii="方正书宋_GBK" w:hAnsi="等线" w:eastAsia="方正书宋_GBK" w:cs="Times New Roman"/>
                <w:b/>
              </w:rPr>
            </w:pPr>
          </w:p>
        </w:tc>
        <w:tc>
          <w:tcPr>
            <w:tcW w:w="1134" w:type="dxa"/>
            <w:shd w:val="clear" w:color="auto" w:fill="auto"/>
            <w:vAlign w:val="center"/>
          </w:tcPr>
          <w:p>
            <w:pPr>
              <w:spacing w:line="300" w:lineRule="exact"/>
              <w:jc w:val="right"/>
              <w:rPr>
                <w:rFonts w:ascii="方正书宋_GBK" w:hAnsi="等线" w:eastAsia="方正书宋_GBK" w:cs="Times New Roman"/>
                <w:b/>
              </w:rPr>
            </w:pPr>
          </w:p>
        </w:tc>
        <w:tc>
          <w:tcPr>
            <w:tcW w:w="1134" w:type="dxa"/>
            <w:shd w:val="clear" w:color="auto" w:fill="auto"/>
            <w:vAlign w:val="center"/>
          </w:tcPr>
          <w:p>
            <w:pPr>
              <w:spacing w:line="300" w:lineRule="exact"/>
              <w:jc w:val="right"/>
              <w:rPr>
                <w:rFonts w:ascii="方正书宋_GBK" w:hAnsi="等线" w:eastAsia="方正书宋_GBK"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hAnsi="等线" w:eastAsia="方正书宋_GBK" w:cs="Times New Roman"/>
              </w:rPr>
            </w:pPr>
          </w:p>
        </w:tc>
        <w:tc>
          <w:tcPr>
            <w:tcW w:w="1134" w:type="dxa"/>
            <w:shd w:val="clear" w:color="auto" w:fill="auto"/>
            <w:vAlign w:val="center"/>
          </w:tcPr>
          <w:p>
            <w:pPr>
              <w:spacing w:line="300" w:lineRule="exact"/>
              <w:jc w:val="right"/>
              <w:rPr>
                <w:rFonts w:ascii="方正书宋_GBK" w:hAnsi="等线" w:eastAsia="方正书宋_GBK" w:cs="Times New Roman"/>
              </w:rPr>
            </w:pPr>
          </w:p>
        </w:tc>
        <w:tc>
          <w:tcPr>
            <w:tcW w:w="1531" w:type="dxa"/>
            <w:shd w:val="clear" w:color="auto" w:fill="auto"/>
            <w:vAlign w:val="center"/>
          </w:tcPr>
          <w:p>
            <w:pPr>
              <w:spacing w:line="300" w:lineRule="exact"/>
              <w:jc w:val="left"/>
              <w:rPr>
                <w:rFonts w:ascii="方正书宋_GBK" w:hAnsi="等线" w:eastAsia="方正书宋_GBK" w:cs="Times New Roman"/>
              </w:rPr>
            </w:pPr>
          </w:p>
        </w:tc>
        <w:tc>
          <w:tcPr>
            <w:tcW w:w="1531" w:type="dxa"/>
            <w:shd w:val="clear" w:color="auto" w:fill="auto"/>
            <w:vAlign w:val="center"/>
          </w:tcPr>
          <w:p>
            <w:pPr>
              <w:spacing w:line="300" w:lineRule="exact"/>
              <w:jc w:val="left"/>
              <w:rPr>
                <w:rFonts w:ascii="方正书宋_GBK" w:hAnsi="等线" w:eastAsia="方正书宋_GBK" w:cs="Times New Roman"/>
              </w:rPr>
            </w:pPr>
          </w:p>
        </w:tc>
        <w:tc>
          <w:tcPr>
            <w:tcW w:w="709" w:type="dxa"/>
            <w:shd w:val="clear" w:color="auto" w:fill="auto"/>
            <w:vAlign w:val="center"/>
          </w:tcPr>
          <w:p>
            <w:pPr>
              <w:spacing w:line="300" w:lineRule="exact"/>
              <w:jc w:val="center"/>
              <w:rPr>
                <w:rFonts w:ascii="方正书宋_GBK" w:hAnsi="等线" w:eastAsia="方正书宋_GBK" w:cs="Times New Roman"/>
              </w:rPr>
            </w:pPr>
          </w:p>
        </w:tc>
        <w:tc>
          <w:tcPr>
            <w:tcW w:w="907" w:type="dxa"/>
            <w:shd w:val="clear" w:color="auto" w:fill="auto"/>
            <w:vAlign w:val="center"/>
          </w:tcPr>
          <w:p>
            <w:pPr>
              <w:spacing w:line="300" w:lineRule="exact"/>
              <w:jc w:val="right"/>
              <w:rPr>
                <w:rFonts w:ascii="方正书宋_GBK" w:hAnsi="等线" w:eastAsia="方正书宋_GBK" w:cs="Times New Roman"/>
              </w:rPr>
            </w:pPr>
          </w:p>
        </w:tc>
        <w:tc>
          <w:tcPr>
            <w:tcW w:w="907" w:type="dxa"/>
            <w:shd w:val="clear" w:color="auto" w:fill="auto"/>
            <w:vAlign w:val="center"/>
          </w:tcPr>
          <w:p>
            <w:pPr>
              <w:spacing w:line="300" w:lineRule="exact"/>
              <w:jc w:val="right"/>
              <w:rPr>
                <w:rFonts w:ascii="方正书宋_GBK" w:hAnsi="等线" w:eastAsia="方正书宋_GBK" w:cs="Times New Roman"/>
              </w:rPr>
            </w:pPr>
          </w:p>
        </w:tc>
        <w:tc>
          <w:tcPr>
            <w:tcW w:w="1134" w:type="dxa"/>
            <w:shd w:val="clear" w:color="auto" w:fill="auto"/>
            <w:vAlign w:val="center"/>
          </w:tcPr>
          <w:p>
            <w:pPr>
              <w:spacing w:line="300" w:lineRule="exact"/>
              <w:jc w:val="right"/>
              <w:rPr>
                <w:rFonts w:ascii="方正书宋_GBK" w:hAnsi="等线" w:eastAsia="方正书宋_GBK" w:cs="Times New Roman"/>
              </w:rPr>
            </w:pPr>
          </w:p>
        </w:tc>
        <w:tc>
          <w:tcPr>
            <w:tcW w:w="1134" w:type="dxa"/>
            <w:shd w:val="clear" w:color="auto" w:fill="auto"/>
            <w:vAlign w:val="center"/>
          </w:tcPr>
          <w:p>
            <w:pPr>
              <w:spacing w:line="300" w:lineRule="exact"/>
              <w:jc w:val="right"/>
              <w:rPr>
                <w:rFonts w:ascii="方正书宋_GBK" w:hAnsi="等线" w:eastAsia="方正书宋_GBK" w:cs="Times New Roman"/>
              </w:rPr>
            </w:pPr>
          </w:p>
        </w:tc>
        <w:tc>
          <w:tcPr>
            <w:tcW w:w="1134" w:type="dxa"/>
            <w:shd w:val="clear" w:color="auto" w:fill="auto"/>
            <w:vAlign w:val="center"/>
          </w:tcPr>
          <w:p>
            <w:pPr>
              <w:spacing w:line="300" w:lineRule="exact"/>
              <w:jc w:val="right"/>
              <w:rPr>
                <w:rFonts w:ascii="方正书宋_GBK" w:hAnsi="等线" w:eastAsia="方正书宋_GBK" w:cs="Times New Roman"/>
              </w:rPr>
            </w:pPr>
          </w:p>
        </w:tc>
        <w:tc>
          <w:tcPr>
            <w:tcW w:w="1134" w:type="dxa"/>
            <w:shd w:val="clear" w:color="auto" w:fill="auto"/>
            <w:vAlign w:val="center"/>
          </w:tcPr>
          <w:p>
            <w:pPr>
              <w:spacing w:line="300" w:lineRule="exact"/>
              <w:jc w:val="right"/>
              <w:rPr>
                <w:rFonts w:ascii="方正书宋_GBK" w:hAnsi="等线" w:eastAsia="方正书宋_GBK" w:cs="Times New Roman"/>
              </w:rPr>
            </w:pPr>
          </w:p>
        </w:tc>
        <w:tc>
          <w:tcPr>
            <w:tcW w:w="1134" w:type="dxa"/>
            <w:shd w:val="clear" w:color="auto" w:fill="auto"/>
            <w:vAlign w:val="center"/>
          </w:tcPr>
          <w:p>
            <w:pPr>
              <w:spacing w:line="300" w:lineRule="exact"/>
              <w:jc w:val="right"/>
              <w:rPr>
                <w:rFonts w:ascii="方正书宋_GBK" w:hAnsi="等线" w:eastAsia="方正书宋_GBK" w:cs="Times New Roman"/>
              </w:rPr>
            </w:pPr>
          </w:p>
        </w:tc>
        <w:tc>
          <w:tcPr>
            <w:tcW w:w="1134" w:type="dxa"/>
            <w:shd w:val="clear" w:color="auto" w:fill="auto"/>
            <w:vAlign w:val="center"/>
          </w:tcPr>
          <w:p>
            <w:pPr>
              <w:spacing w:line="300" w:lineRule="exact"/>
              <w:jc w:val="right"/>
              <w:rPr>
                <w:rFonts w:ascii="方正书宋_GBK" w:hAnsi="等线"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hAnsi="等线" w:eastAsia="方正书宋_GBK" w:cs="Times New Roman"/>
              </w:rPr>
            </w:pPr>
          </w:p>
        </w:tc>
        <w:tc>
          <w:tcPr>
            <w:tcW w:w="1134" w:type="dxa"/>
            <w:shd w:val="clear" w:color="auto" w:fill="auto"/>
            <w:vAlign w:val="center"/>
          </w:tcPr>
          <w:p>
            <w:pPr>
              <w:spacing w:line="300" w:lineRule="exact"/>
              <w:jc w:val="right"/>
              <w:rPr>
                <w:rFonts w:ascii="方正书宋_GBK" w:hAnsi="等线" w:eastAsia="方正书宋_GBK" w:cs="Times New Roman"/>
              </w:rPr>
            </w:pPr>
          </w:p>
        </w:tc>
        <w:tc>
          <w:tcPr>
            <w:tcW w:w="1531" w:type="dxa"/>
            <w:shd w:val="clear" w:color="auto" w:fill="auto"/>
            <w:vAlign w:val="center"/>
          </w:tcPr>
          <w:p>
            <w:pPr>
              <w:spacing w:line="300" w:lineRule="exact"/>
              <w:jc w:val="left"/>
              <w:rPr>
                <w:rFonts w:ascii="方正书宋_GBK" w:hAnsi="等线" w:cs="Times New Roman"/>
              </w:rPr>
            </w:pPr>
          </w:p>
        </w:tc>
        <w:tc>
          <w:tcPr>
            <w:tcW w:w="1531" w:type="dxa"/>
            <w:shd w:val="clear" w:color="auto" w:fill="auto"/>
            <w:vAlign w:val="center"/>
          </w:tcPr>
          <w:p>
            <w:pPr>
              <w:spacing w:line="300" w:lineRule="exact"/>
              <w:jc w:val="left"/>
              <w:rPr>
                <w:rFonts w:ascii="方正书宋_GBK" w:hAnsi="等线" w:eastAsia="方正书宋_GBK" w:cs="Times New Roman"/>
              </w:rPr>
            </w:pPr>
          </w:p>
        </w:tc>
        <w:tc>
          <w:tcPr>
            <w:tcW w:w="709" w:type="dxa"/>
            <w:shd w:val="clear" w:color="auto" w:fill="auto"/>
            <w:vAlign w:val="center"/>
          </w:tcPr>
          <w:p>
            <w:pPr>
              <w:spacing w:line="300" w:lineRule="exact"/>
              <w:jc w:val="center"/>
              <w:rPr>
                <w:rFonts w:ascii="方正书宋_GBK" w:hAnsi="等线" w:cs="Times New Roman"/>
              </w:rPr>
            </w:pPr>
          </w:p>
        </w:tc>
        <w:tc>
          <w:tcPr>
            <w:tcW w:w="907" w:type="dxa"/>
            <w:shd w:val="clear" w:color="auto" w:fill="auto"/>
            <w:vAlign w:val="center"/>
          </w:tcPr>
          <w:p>
            <w:pPr>
              <w:spacing w:line="300" w:lineRule="exact"/>
              <w:jc w:val="right"/>
              <w:rPr>
                <w:rFonts w:ascii="方正书宋_GBK" w:hAnsi="等线" w:eastAsia="方正书宋_GBK" w:cs="Times New Roman"/>
              </w:rPr>
            </w:pPr>
          </w:p>
        </w:tc>
        <w:tc>
          <w:tcPr>
            <w:tcW w:w="907" w:type="dxa"/>
            <w:shd w:val="clear" w:color="auto" w:fill="auto"/>
            <w:vAlign w:val="center"/>
          </w:tcPr>
          <w:p>
            <w:pPr>
              <w:spacing w:line="300" w:lineRule="exact"/>
              <w:jc w:val="right"/>
              <w:rPr>
                <w:rFonts w:ascii="方正书宋_GBK" w:hAnsi="等线" w:eastAsia="方正书宋_GBK" w:cs="Times New Roman"/>
              </w:rPr>
            </w:pPr>
          </w:p>
        </w:tc>
        <w:tc>
          <w:tcPr>
            <w:tcW w:w="1134" w:type="dxa"/>
            <w:shd w:val="clear" w:color="auto" w:fill="auto"/>
            <w:vAlign w:val="center"/>
          </w:tcPr>
          <w:p>
            <w:pPr>
              <w:spacing w:line="300" w:lineRule="exact"/>
              <w:jc w:val="right"/>
              <w:rPr>
                <w:rFonts w:ascii="方正书宋_GBK" w:hAnsi="等线" w:eastAsia="方正书宋_GBK" w:cs="Times New Roman"/>
              </w:rPr>
            </w:pPr>
          </w:p>
        </w:tc>
        <w:tc>
          <w:tcPr>
            <w:tcW w:w="1134" w:type="dxa"/>
            <w:shd w:val="clear" w:color="auto" w:fill="auto"/>
            <w:vAlign w:val="center"/>
          </w:tcPr>
          <w:p>
            <w:pPr>
              <w:spacing w:line="300" w:lineRule="exact"/>
              <w:jc w:val="right"/>
              <w:rPr>
                <w:rFonts w:ascii="方正书宋_GBK" w:hAnsi="等线" w:eastAsia="方正书宋_GBK" w:cs="Times New Roman"/>
              </w:rPr>
            </w:pPr>
          </w:p>
        </w:tc>
        <w:tc>
          <w:tcPr>
            <w:tcW w:w="1134" w:type="dxa"/>
            <w:shd w:val="clear" w:color="auto" w:fill="auto"/>
            <w:vAlign w:val="center"/>
          </w:tcPr>
          <w:p>
            <w:pPr>
              <w:spacing w:line="300" w:lineRule="exact"/>
              <w:jc w:val="right"/>
              <w:rPr>
                <w:rFonts w:ascii="方正书宋_GBK" w:hAnsi="等线" w:eastAsia="方正书宋_GBK" w:cs="Times New Roman"/>
              </w:rPr>
            </w:pPr>
          </w:p>
        </w:tc>
        <w:tc>
          <w:tcPr>
            <w:tcW w:w="1134" w:type="dxa"/>
            <w:shd w:val="clear" w:color="auto" w:fill="auto"/>
            <w:vAlign w:val="center"/>
          </w:tcPr>
          <w:p>
            <w:pPr>
              <w:spacing w:line="300" w:lineRule="exact"/>
              <w:jc w:val="right"/>
              <w:rPr>
                <w:rFonts w:ascii="方正书宋_GBK" w:hAnsi="等线" w:eastAsia="方正书宋_GBK" w:cs="Times New Roman"/>
              </w:rPr>
            </w:pPr>
          </w:p>
        </w:tc>
        <w:tc>
          <w:tcPr>
            <w:tcW w:w="1134" w:type="dxa"/>
            <w:shd w:val="clear" w:color="auto" w:fill="auto"/>
            <w:vAlign w:val="center"/>
          </w:tcPr>
          <w:p>
            <w:pPr>
              <w:spacing w:line="300" w:lineRule="exact"/>
              <w:jc w:val="right"/>
              <w:rPr>
                <w:rFonts w:ascii="方正书宋_GBK" w:hAnsi="等线" w:eastAsia="方正书宋_GBK" w:cs="Times New Roman"/>
              </w:rPr>
            </w:pPr>
          </w:p>
        </w:tc>
        <w:tc>
          <w:tcPr>
            <w:tcW w:w="1134" w:type="dxa"/>
            <w:shd w:val="clear" w:color="auto" w:fill="auto"/>
            <w:vAlign w:val="center"/>
          </w:tcPr>
          <w:p>
            <w:pPr>
              <w:spacing w:line="300" w:lineRule="exact"/>
              <w:jc w:val="right"/>
              <w:rPr>
                <w:rFonts w:ascii="方正书宋_GBK" w:hAnsi="等线" w:eastAsia="方正书宋_GBK" w:cs="Times New Roman"/>
              </w:rPr>
            </w:pPr>
          </w:p>
        </w:tc>
      </w:tr>
    </w:tbl>
    <w:p>
      <w:pPr>
        <w:rPr>
          <w:rFonts w:ascii="等线" w:hAnsi="等线" w:eastAsia="等线" w:cs="Times New Roman"/>
        </w:rPr>
      </w:pPr>
    </w:p>
    <w:p>
      <w:pPr>
        <w:spacing w:line="360" w:lineRule="auto"/>
        <w:rPr>
          <w:rFonts w:ascii="仿宋" w:hAnsi="仿宋" w:eastAsia="仿宋"/>
          <w:sz w:val="32"/>
          <w:szCs w:val="32"/>
        </w:rPr>
        <w:sectPr>
          <w:pgSz w:w="16838" w:h="11906" w:orient="landscape"/>
          <w:pgMar w:top="1797" w:right="1440" w:bottom="1797" w:left="1440" w:header="851" w:footer="992" w:gutter="0"/>
          <w:cols w:space="425" w:num="1"/>
          <w:docGrid w:type="linesAndChars" w:linePitch="312" w:charSpace="0"/>
        </w:sectPr>
      </w:pPr>
    </w:p>
    <w:p>
      <w:pPr>
        <w:spacing w:line="360" w:lineRule="auto"/>
        <w:rPr>
          <w:rFonts w:ascii="仿宋" w:hAnsi="仿宋" w:eastAsia="仿宋"/>
          <w:sz w:val="32"/>
          <w:szCs w:val="32"/>
        </w:rPr>
      </w:pPr>
    </w:p>
    <w:p>
      <w:pPr>
        <w:jc w:val="center"/>
        <w:outlineLvl w:val="0"/>
        <w:rPr>
          <w:rFonts w:ascii="方正小标宋_GBK" w:eastAsia="方正小标宋_GBK"/>
          <w:sz w:val="44"/>
        </w:rPr>
      </w:pPr>
      <w:r>
        <w:rPr>
          <w:rFonts w:hint="eastAsia" w:ascii="方正小标宋_GBK" w:eastAsia="方正小标宋_GBK"/>
          <w:sz w:val="44"/>
        </w:rPr>
        <w:t>第七部分：国有资产信息</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上年末我</w:t>
      </w:r>
      <w:r>
        <w:rPr>
          <w:rFonts w:hint="eastAsia" w:ascii="仿宋" w:hAnsi="仿宋" w:eastAsia="仿宋"/>
          <w:sz w:val="32"/>
          <w:szCs w:val="32"/>
          <w:lang w:eastAsia="zh-CN"/>
        </w:rPr>
        <w:t>单位</w:t>
      </w:r>
      <w:r>
        <w:rPr>
          <w:rFonts w:hint="eastAsia" w:ascii="仿宋" w:hAnsi="仿宋" w:eastAsia="仿宋"/>
          <w:sz w:val="32"/>
          <w:szCs w:val="32"/>
        </w:rPr>
        <w:t>固定资产总金额为1</w:t>
      </w:r>
      <w:r>
        <w:rPr>
          <w:rFonts w:ascii="仿宋" w:hAnsi="仿宋" w:eastAsia="仿宋"/>
          <w:sz w:val="32"/>
          <w:szCs w:val="32"/>
        </w:rPr>
        <w:t>2.27</w:t>
      </w:r>
      <w:r>
        <w:rPr>
          <w:rFonts w:hint="eastAsia" w:ascii="仿宋" w:hAnsi="仿宋" w:eastAsia="仿宋"/>
          <w:sz w:val="32"/>
          <w:szCs w:val="32"/>
        </w:rPr>
        <w:t>万元（详见下表）。</w:t>
      </w:r>
      <w:r>
        <w:rPr>
          <w:rFonts w:ascii="仿宋" w:hAnsi="仿宋" w:eastAsia="仿宋"/>
          <w:sz w:val="32"/>
          <w:szCs w:val="32"/>
        </w:rPr>
        <w:t xml:space="preserve"> </w:t>
      </w:r>
    </w:p>
    <w:p>
      <w:pPr>
        <w:spacing w:line="360" w:lineRule="auto"/>
        <w:rPr>
          <w:rFonts w:ascii="仿宋" w:hAnsi="仿宋" w:eastAsia="仿宋"/>
          <w:sz w:val="32"/>
          <w:szCs w:val="32"/>
        </w:rPr>
      </w:pPr>
      <w:r>
        <w:rPr>
          <w:rFonts w:hint="eastAsia" w:ascii="仿宋" w:hAnsi="仿宋" w:eastAsia="仿宋"/>
          <w:sz w:val="32"/>
          <w:szCs w:val="32"/>
        </w:rPr>
        <w:t>我</w:t>
      </w:r>
      <w:r>
        <w:rPr>
          <w:rFonts w:hint="eastAsia" w:ascii="仿宋" w:hAnsi="仿宋" w:eastAsia="仿宋"/>
          <w:sz w:val="32"/>
          <w:szCs w:val="32"/>
          <w:lang w:eastAsia="zh-CN"/>
        </w:rPr>
        <w:t>单位</w:t>
      </w:r>
      <w:r>
        <w:rPr>
          <w:rFonts w:hint="eastAsia" w:ascii="仿宋" w:hAnsi="仿宋" w:eastAsia="仿宋"/>
          <w:sz w:val="32"/>
          <w:szCs w:val="32"/>
        </w:rPr>
        <w:t>本年度无国有资产购置计划，拟购置金额为</w:t>
      </w:r>
      <w:r>
        <w:rPr>
          <w:rFonts w:ascii="仿宋" w:hAnsi="仿宋" w:eastAsia="仿宋"/>
          <w:sz w:val="32"/>
          <w:szCs w:val="32"/>
        </w:rPr>
        <w:t>0。</w:t>
      </w:r>
    </w:p>
    <w:tbl>
      <w:tblPr>
        <w:tblStyle w:val="5"/>
        <w:tblW w:w="10084" w:type="dxa"/>
        <w:jc w:val="center"/>
        <w:tblLayout w:type="autofit"/>
        <w:tblCellMar>
          <w:top w:w="0" w:type="dxa"/>
          <w:left w:w="108" w:type="dxa"/>
          <w:bottom w:w="0" w:type="dxa"/>
          <w:right w:w="108" w:type="dxa"/>
        </w:tblCellMar>
      </w:tblPr>
      <w:tblGrid>
        <w:gridCol w:w="4788"/>
        <w:gridCol w:w="1035"/>
        <w:gridCol w:w="4261"/>
      </w:tblGrid>
      <w:tr>
        <w:tblPrEx>
          <w:tblCellMar>
            <w:top w:w="0" w:type="dxa"/>
            <w:left w:w="108" w:type="dxa"/>
            <w:bottom w:w="0" w:type="dxa"/>
            <w:right w:w="108" w:type="dxa"/>
          </w:tblCellMar>
        </w:tblPrEx>
        <w:trPr>
          <w:trHeight w:val="510" w:hRule="atLeast"/>
          <w:jc w:val="center"/>
        </w:trPr>
        <w:tc>
          <w:tcPr>
            <w:tcW w:w="10084" w:type="dxa"/>
            <w:gridSpan w:val="3"/>
            <w:tcBorders>
              <w:top w:val="nil"/>
              <w:left w:val="nil"/>
              <w:bottom w:val="nil"/>
              <w:right w:val="nil"/>
            </w:tcBorders>
            <w:shd w:val="clear" w:color="auto" w:fill="auto"/>
            <w:noWrap/>
            <w:vAlign w:val="center"/>
          </w:tcPr>
          <w:p>
            <w:pPr>
              <w:widowControl/>
              <w:jc w:val="center"/>
              <w:rPr>
                <w:rFonts w:ascii="宋体" w:hAnsi="宋体" w:cs="宋体"/>
                <w:kern w:val="0"/>
                <w:sz w:val="28"/>
                <w:szCs w:val="28"/>
              </w:rPr>
            </w:pPr>
            <w:r>
              <w:rPr>
                <w:rFonts w:hint="eastAsia" w:ascii="宋体" w:hAnsi="宋体"/>
                <w:sz w:val="32"/>
                <w:szCs w:val="32"/>
              </w:rPr>
              <w:t>固定资产占用情况表</w:t>
            </w:r>
          </w:p>
        </w:tc>
      </w:tr>
      <w:tr>
        <w:tblPrEx>
          <w:tblCellMar>
            <w:top w:w="0" w:type="dxa"/>
            <w:left w:w="108" w:type="dxa"/>
            <w:bottom w:w="0" w:type="dxa"/>
            <w:right w:w="108" w:type="dxa"/>
          </w:tblCellMar>
        </w:tblPrEx>
        <w:trPr>
          <w:trHeight w:val="510" w:hRule="atLeast"/>
          <w:jc w:val="center"/>
        </w:trPr>
        <w:tc>
          <w:tcPr>
            <w:tcW w:w="10084" w:type="dxa"/>
            <w:gridSpan w:val="3"/>
            <w:tcBorders>
              <w:top w:val="nil"/>
              <w:left w:val="nil"/>
              <w:bottom w:val="single" w:color="auto" w:sz="4" w:space="0"/>
              <w:right w:val="nil"/>
            </w:tcBorders>
            <w:shd w:val="clear" w:color="auto" w:fill="auto"/>
            <w:noWrap/>
            <w:vAlign w:val="center"/>
          </w:tcPr>
          <w:p>
            <w:pPr>
              <w:widowControl/>
              <w:jc w:val="center"/>
              <w:rPr>
                <w:rFonts w:ascii="仿宋_GB2312" w:hAnsi="仿宋" w:eastAsia="仿宋_GB2312" w:cs="宋体"/>
                <w:kern w:val="0"/>
                <w:sz w:val="28"/>
                <w:szCs w:val="28"/>
              </w:rPr>
            </w:pPr>
            <w:r>
              <w:rPr>
                <w:rFonts w:hint="eastAsia" w:ascii="仿宋_GB2312" w:hAnsi="仿宋" w:eastAsia="仿宋_GB2312" w:cs="宋体"/>
                <w:bCs/>
                <w:kern w:val="0"/>
                <w:sz w:val="32"/>
                <w:szCs w:val="32"/>
              </w:rPr>
              <w:t xml:space="preserve">                           </w:t>
            </w:r>
            <w:r>
              <w:rPr>
                <w:rFonts w:hint="eastAsia" w:ascii="仿宋_GB2312" w:hAnsi="仿宋" w:eastAsia="仿宋_GB2312" w:cs="宋体"/>
                <w:bCs/>
                <w:kern w:val="0"/>
                <w:sz w:val="28"/>
                <w:szCs w:val="28"/>
              </w:rPr>
              <w:t>截止时间：</w:t>
            </w:r>
            <w:r>
              <w:rPr>
                <w:rFonts w:ascii="仿宋_GB2312" w:hAnsi="仿宋" w:eastAsia="仿宋_GB2312" w:cs="宋体"/>
                <w:bCs/>
                <w:color w:val="FF0000"/>
                <w:kern w:val="0"/>
                <w:sz w:val="28"/>
                <w:szCs w:val="28"/>
              </w:rPr>
              <w:t>2020</w:t>
            </w:r>
            <w:r>
              <w:rPr>
                <w:rFonts w:hint="eastAsia" w:ascii="仿宋_GB2312" w:hAnsi="仿宋" w:eastAsia="仿宋_GB2312" w:cs="宋体"/>
                <w:bCs/>
                <w:color w:val="FF0000"/>
                <w:kern w:val="0"/>
                <w:sz w:val="28"/>
                <w:szCs w:val="28"/>
              </w:rPr>
              <w:t>年12月31日</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项　　目</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数量</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价值（单位：万元）</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固定资产总额</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kern w:val="0"/>
                <w:sz w:val="24"/>
                <w:szCs w:val="24"/>
              </w:rPr>
            </w:pPr>
            <w:r>
              <w:rPr>
                <w:rFonts w:hint="eastAsia" w:ascii="仿宋_GB2312" w:hAnsi="仿宋" w:eastAsia="仿宋_GB2312" w:cs="宋体"/>
                <w:b/>
                <w:kern w:val="0"/>
                <w:sz w:val="24"/>
                <w:szCs w:val="24"/>
              </w:rPr>
              <w:t>--</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kern w:val="0"/>
                <w:sz w:val="24"/>
                <w:szCs w:val="24"/>
              </w:rPr>
            </w:pPr>
            <w:r>
              <w:rPr>
                <w:rFonts w:hint="eastAsia" w:ascii="仿宋_GB2312" w:hAnsi="仿宋" w:eastAsia="仿宋_GB2312" w:cs="宋体"/>
                <w:b/>
                <w:kern w:val="0"/>
                <w:sz w:val="24"/>
                <w:szCs w:val="24"/>
              </w:rPr>
              <w:t>12.27</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1、房屋（平方米）</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其中：办公用房（平方米）</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p>
        </w:tc>
        <w:tc>
          <w:tcPr>
            <w:tcW w:w="4261"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2、车辆（台、辆）</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6.28</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3、单价在50万元以上的设备(台、套)</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其中：单价50万元（含）以上的通用设备</w:t>
            </w: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单价100万元（含）以上的专用设备</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4、其他固定资产</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p>
        </w:tc>
        <w:tc>
          <w:tcPr>
            <w:tcW w:w="4261"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5.</w:t>
            </w:r>
            <w:r>
              <w:rPr>
                <w:rFonts w:ascii="仿宋_GB2312" w:hAnsi="仿宋" w:eastAsia="仿宋_GB2312" w:cs="宋体"/>
                <w:kern w:val="0"/>
                <w:sz w:val="24"/>
                <w:szCs w:val="24"/>
              </w:rPr>
              <w:t>99</w:t>
            </w:r>
          </w:p>
        </w:tc>
      </w:tr>
    </w:tbl>
    <w:p>
      <w:pPr>
        <w:spacing w:line="360" w:lineRule="auto"/>
        <w:rPr>
          <w:rFonts w:ascii="黑体" w:hAnsi="黑体" w:eastAsia="黑体" w:cs="Times New Roman"/>
          <w:sz w:val="32"/>
          <w:szCs w:val="32"/>
        </w:rPr>
      </w:pPr>
    </w:p>
    <w:p>
      <w:pPr>
        <w:jc w:val="center"/>
        <w:outlineLvl w:val="0"/>
        <w:rPr>
          <w:rFonts w:ascii="方正小标宋_GBK" w:eastAsia="方正小标宋_GBK"/>
          <w:sz w:val="44"/>
        </w:rPr>
      </w:pPr>
    </w:p>
    <w:p>
      <w:pPr>
        <w:jc w:val="center"/>
        <w:outlineLvl w:val="0"/>
        <w:rPr>
          <w:rFonts w:ascii="方正小标宋_GBK" w:eastAsia="方正小标宋_GBK"/>
          <w:sz w:val="44"/>
        </w:rPr>
      </w:pPr>
    </w:p>
    <w:p>
      <w:pPr>
        <w:jc w:val="center"/>
        <w:outlineLvl w:val="0"/>
        <w:rPr>
          <w:rFonts w:ascii="方正小标宋_GBK" w:eastAsia="方正小标宋_GBK"/>
          <w:sz w:val="44"/>
        </w:rPr>
      </w:pPr>
    </w:p>
    <w:p>
      <w:pPr>
        <w:jc w:val="center"/>
        <w:outlineLvl w:val="0"/>
        <w:rPr>
          <w:rFonts w:ascii="方正小标宋_GBK" w:eastAsia="方正小标宋_GBK"/>
          <w:sz w:val="44"/>
        </w:rPr>
      </w:pPr>
    </w:p>
    <w:p>
      <w:pPr>
        <w:jc w:val="center"/>
        <w:outlineLvl w:val="0"/>
        <w:rPr>
          <w:rFonts w:ascii="方正小标宋_GBK" w:eastAsia="方正小标宋_GBK"/>
          <w:sz w:val="44"/>
        </w:rPr>
      </w:pPr>
      <w:r>
        <w:rPr>
          <w:rFonts w:hint="eastAsia" w:ascii="方正小标宋_GBK" w:eastAsia="方正小标宋_GBK"/>
          <w:sz w:val="44"/>
        </w:rPr>
        <w:t>第八部分：名词解释</w:t>
      </w:r>
    </w:p>
    <w:p>
      <w:pPr>
        <w:spacing w:line="360" w:lineRule="auto"/>
        <w:ind w:firstLine="640" w:firstLineChars="200"/>
        <w:rPr>
          <w:rFonts w:ascii="仿宋" w:hAnsi="仿宋" w:eastAsia="仿宋"/>
          <w:sz w:val="32"/>
          <w:szCs w:val="32"/>
        </w:rPr>
      </w:pPr>
      <w:r>
        <w:rPr>
          <w:rFonts w:ascii="仿宋" w:hAnsi="仿宋" w:eastAsia="仿宋"/>
          <w:sz w:val="32"/>
          <w:szCs w:val="32"/>
        </w:rPr>
        <w:t>1、一般公共预算财政拨款收入：指区级财政当年拨付的资金。</w:t>
      </w:r>
    </w:p>
    <w:p>
      <w:pPr>
        <w:spacing w:line="360" w:lineRule="auto"/>
        <w:ind w:firstLine="640" w:firstLineChars="200"/>
        <w:rPr>
          <w:rFonts w:ascii="仿宋" w:hAnsi="仿宋" w:eastAsia="仿宋"/>
          <w:sz w:val="32"/>
          <w:szCs w:val="32"/>
        </w:rPr>
      </w:pPr>
      <w:r>
        <w:rPr>
          <w:rFonts w:ascii="仿宋" w:hAnsi="仿宋" w:eastAsia="仿宋"/>
          <w:sz w:val="32"/>
          <w:szCs w:val="32"/>
        </w:rPr>
        <w:t>2、其他收入：指除上述“财政拨款收入”、“事业收入”等以外的收入。</w:t>
      </w:r>
    </w:p>
    <w:p>
      <w:pPr>
        <w:spacing w:line="360" w:lineRule="auto"/>
        <w:ind w:firstLine="640" w:firstLineChars="200"/>
        <w:rPr>
          <w:rFonts w:ascii="仿宋" w:hAnsi="仿宋" w:eastAsia="仿宋"/>
          <w:sz w:val="32"/>
          <w:szCs w:val="32"/>
        </w:rPr>
      </w:pPr>
      <w:r>
        <w:rPr>
          <w:rFonts w:ascii="仿宋" w:hAnsi="仿宋" w:eastAsia="仿宋"/>
          <w:sz w:val="32"/>
          <w:szCs w:val="32"/>
        </w:rPr>
        <w:t>3、基本支出：指为保障机构正常运转、完成日常工作任务而发生的人员支出和公用支出。</w:t>
      </w:r>
    </w:p>
    <w:p>
      <w:pPr>
        <w:spacing w:line="360" w:lineRule="auto"/>
        <w:ind w:firstLine="640" w:firstLineChars="200"/>
        <w:rPr>
          <w:rFonts w:ascii="仿宋" w:hAnsi="仿宋" w:eastAsia="仿宋"/>
          <w:sz w:val="32"/>
          <w:szCs w:val="32"/>
        </w:rPr>
      </w:pPr>
      <w:r>
        <w:rPr>
          <w:rFonts w:ascii="仿宋" w:hAnsi="仿宋" w:eastAsia="仿宋"/>
          <w:sz w:val="32"/>
          <w:szCs w:val="32"/>
        </w:rPr>
        <w:t>4、项目支出：指在基本支出之外为完成特定行政任务和事业发展目标所发生的支出。</w:t>
      </w:r>
    </w:p>
    <w:p>
      <w:pPr>
        <w:spacing w:line="360" w:lineRule="auto"/>
        <w:ind w:firstLine="640" w:firstLineChars="200"/>
        <w:rPr>
          <w:rFonts w:ascii="仿宋" w:hAnsi="仿宋" w:eastAsia="仿宋"/>
          <w:sz w:val="32"/>
          <w:szCs w:val="32"/>
        </w:rPr>
      </w:pPr>
      <w:r>
        <w:rPr>
          <w:rFonts w:ascii="仿宋" w:hAnsi="仿宋" w:eastAsia="仿宋"/>
          <w:sz w:val="32"/>
          <w:szCs w:val="32"/>
        </w:rPr>
        <w:t>5、“三公”经费：纳入区级财政预算管理的“三公”经费，是指区级</w:t>
      </w:r>
      <w:r>
        <w:rPr>
          <w:rFonts w:hint="eastAsia" w:ascii="仿宋" w:hAnsi="仿宋" w:eastAsia="仿宋"/>
          <w:sz w:val="32"/>
          <w:szCs w:val="32"/>
          <w:lang w:eastAsia="zh-CN"/>
        </w:rPr>
        <w:t>单位</w:t>
      </w:r>
      <w:r>
        <w:rPr>
          <w:rFonts w:ascii="仿宋" w:hAnsi="仿宋" w:eastAsia="仿宋"/>
          <w:sz w:val="32"/>
          <w:szCs w:val="32"/>
        </w:rPr>
        <w:t>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spacing w:line="360" w:lineRule="auto"/>
        <w:ind w:firstLine="640" w:firstLineChars="200"/>
        <w:rPr>
          <w:rFonts w:ascii="仿宋" w:hAnsi="仿宋" w:eastAsia="仿宋"/>
          <w:sz w:val="32"/>
          <w:szCs w:val="32"/>
        </w:rPr>
      </w:pPr>
      <w:r>
        <w:rPr>
          <w:rFonts w:ascii="仿宋" w:hAnsi="仿宋" w:eastAsia="仿宋"/>
          <w:sz w:val="32"/>
          <w:szCs w:val="32"/>
        </w:rPr>
        <w:t>6、机关运行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360" w:lineRule="auto"/>
        <w:jc w:val="center"/>
        <w:rPr>
          <w:rFonts w:ascii="黑体" w:hAnsi="黑体" w:eastAsia="黑体" w:cs="Times New Roman"/>
          <w:sz w:val="32"/>
          <w:szCs w:val="32"/>
        </w:rPr>
      </w:pPr>
    </w:p>
    <w:p>
      <w:pPr>
        <w:jc w:val="center"/>
        <w:outlineLvl w:val="0"/>
        <w:rPr>
          <w:rFonts w:ascii="方正小标宋_GBK" w:eastAsia="方正小标宋_GBK"/>
          <w:sz w:val="44"/>
        </w:rPr>
      </w:pPr>
      <w:r>
        <w:rPr>
          <w:rFonts w:hint="eastAsia" w:ascii="方正小标宋_GBK" w:eastAsia="方正小标宋_GBK"/>
          <w:sz w:val="44"/>
        </w:rPr>
        <w:t>第九部分：其他需说明的事项</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我</w:t>
      </w:r>
      <w:r>
        <w:rPr>
          <w:rFonts w:hint="eastAsia" w:ascii="仿宋" w:hAnsi="仿宋" w:eastAsia="仿宋"/>
          <w:sz w:val="32"/>
          <w:szCs w:val="32"/>
          <w:lang w:eastAsia="zh-CN"/>
        </w:rPr>
        <w:t>单位</w:t>
      </w:r>
      <w:r>
        <w:rPr>
          <w:rFonts w:hint="eastAsia" w:ascii="仿宋" w:hAnsi="仿宋" w:eastAsia="仿宋"/>
          <w:sz w:val="32"/>
          <w:szCs w:val="32"/>
        </w:rPr>
        <w:t>无其他需说明的事项。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0000000000000000000"/>
    <w:charset w:val="86"/>
    <w:family w:val="roman"/>
    <w:pitch w:val="default"/>
    <w:sig w:usb0="00000000" w:usb1="00000000" w:usb2="00000000" w:usb3="00000000" w:csb0="00000000" w:csb1="00000000"/>
  </w:font>
  <w:font w:name="仿宋_GB2312">
    <w:altName w:val="仿宋"/>
    <w:panose1 w:val="00000000000000000000"/>
    <w:charset w:val="86"/>
    <w:family w:val="modern"/>
    <w:pitch w:val="default"/>
    <w:sig w:usb0="00000000" w:usb1="00000000" w:usb2="00000010" w:usb3="00000000" w:csb0="00040000" w:csb1="00000000"/>
  </w:font>
  <w:font w:name="方正书宋_GBK">
    <w:altName w:val="微软雅黑"/>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30172596"/>
      <w:docPartObj>
        <w:docPartGallery w:val="autotext"/>
      </w:docPartObj>
    </w:sdtPr>
    <w:sdtContent>
      <w:p>
        <w:pPr>
          <w:pStyle w:val="3"/>
          <w:jc w:val="center"/>
        </w:pPr>
        <w:r>
          <w:fldChar w:fldCharType="begin"/>
        </w:r>
        <w:r>
          <w:instrText xml:space="preserve">PAGE   \* MERGEFORMAT</w:instrText>
        </w:r>
        <w:r>
          <w:fldChar w:fldCharType="separate"/>
        </w:r>
        <w:r>
          <w:rPr>
            <w:lang w:val="zh-CN"/>
          </w:rPr>
          <w:t>17</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RkZGI3ZjhmMWVmM2U0NGJhNWVlZmQ2MDBlMjlhZGIifQ=="/>
  </w:docVars>
  <w:rsids>
    <w:rsidRoot w:val="00055F1F"/>
    <w:rsid w:val="00013B8A"/>
    <w:rsid w:val="000423A8"/>
    <w:rsid w:val="00044FBC"/>
    <w:rsid w:val="00055F1F"/>
    <w:rsid w:val="000577EF"/>
    <w:rsid w:val="00057F18"/>
    <w:rsid w:val="000A445D"/>
    <w:rsid w:val="000C178B"/>
    <w:rsid w:val="00131DEC"/>
    <w:rsid w:val="00136AB3"/>
    <w:rsid w:val="001462BD"/>
    <w:rsid w:val="00152380"/>
    <w:rsid w:val="001638BE"/>
    <w:rsid w:val="00164810"/>
    <w:rsid w:val="00172C7A"/>
    <w:rsid w:val="00181777"/>
    <w:rsid w:val="001B4688"/>
    <w:rsid w:val="001B6235"/>
    <w:rsid w:val="001F4875"/>
    <w:rsid w:val="00212335"/>
    <w:rsid w:val="002918C6"/>
    <w:rsid w:val="00291EF3"/>
    <w:rsid w:val="00296524"/>
    <w:rsid w:val="002E01F6"/>
    <w:rsid w:val="002F1ACB"/>
    <w:rsid w:val="002F530F"/>
    <w:rsid w:val="00305E97"/>
    <w:rsid w:val="00310532"/>
    <w:rsid w:val="0032782B"/>
    <w:rsid w:val="00340B3D"/>
    <w:rsid w:val="0034253A"/>
    <w:rsid w:val="003669CF"/>
    <w:rsid w:val="00367A30"/>
    <w:rsid w:val="003A06D2"/>
    <w:rsid w:val="003A4557"/>
    <w:rsid w:val="003A6366"/>
    <w:rsid w:val="003C2317"/>
    <w:rsid w:val="003C442E"/>
    <w:rsid w:val="003D1092"/>
    <w:rsid w:val="003D37CD"/>
    <w:rsid w:val="003E5531"/>
    <w:rsid w:val="003E555C"/>
    <w:rsid w:val="003E6AF3"/>
    <w:rsid w:val="0040243C"/>
    <w:rsid w:val="00406BD1"/>
    <w:rsid w:val="00426C19"/>
    <w:rsid w:val="00450FD9"/>
    <w:rsid w:val="00453CE0"/>
    <w:rsid w:val="00470736"/>
    <w:rsid w:val="00470BBB"/>
    <w:rsid w:val="0048611E"/>
    <w:rsid w:val="004B6929"/>
    <w:rsid w:val="004E2F43"/>
    <w:rsid w:val="004E3572"/>
    <w:rsid w:val="004F3C52"/>
    <w:rsid w:val="00510A1E"/>
    <w:rsid w:val="005158E2"/>
    <w:rsid w:val="00524204"/>
    <w:rsid w:val="00550049"/>
    <w:rsid w:val="00553F7E"/>
    <w:rsid w:val="00570142"/>
    <w:rsid w:val="00570FD3"/>
    <w:rsid w:val="00586C35"/>
    <w:rsid w:val="005B1B6F"/>
    <w:rsid w:val="005B6CCB"/>
    <w:rsid w:val="005C54AA"/>
    <w:rsid w:val="005C7B89"/>
    <w:rsid w:val="0062788A"/>
    <w:rsid w:val="00641F8A"/>
    <w:rsid w:val="0066383B"/>
    <w:rsid w:val="006A6FA2"/>
    <w:rsid w:val="006B5117"/>
    <w:rsid w:val="006C62DF"/>
    <w:rsid w:val="006F5104"/>
    <w:rsid w:val="006F6549"/>
    <w:rsid w:val="00735B02"/>
    <w:rsid w:val="007657C8"/>
    <w:rsid w:val="00767A77"/>
    <w:rsid w:val="00771E49"/>
    <w:rsid w:val="00782208"/>
    <w:rsid w:val="00791938"/>
    <w:rsid w:val="007A5999"/>
    <w:rsid w:val="007C7FD7"/>
    <w:rsid w:val="007F3746"/>
    <w:rsid w:val="00833132"/>
    <w:rsid w:val="00845C67"/>
    <w:rsid w:val="0086454E"/>
    <w:rsid w:val="008672EA"/>
    <w:rsid w:val="00891680"/>
    <w:rsid w:val="008A0099"/>
    <w:rsid w:val="008A0B5F"/>
    <w:rsid w:val="008A52DC"/>
    <w:rsid w:val="008B5402"/>
    <w:rsid w:val="008D11BC"/>
    <w:rsid w:val="0090527E"/>
    <w:rsid w:val="00905BB7"/>
    <w:rsid w:val="0090620C"/>
    <w:rsid w:val="00912DA4"/>
    <w:rsid w:val="00924F7F"/>
    <w:rsid w:val="009302B8"/>
    <w:rsid w:val="009305C6"/>
    <w:rsid w:val="009752AE"/>
    <w:rsid w:val="00982F3D"/>
    <w:rsid w:val="00983232"/>
    <w:rsid w:val="009A278A"/>
    <w:rsid w:val="009B6368"/>
    <w:rsid w:val="009F63C4"/>
    <w:rsid w:val="00A16957"/>
    <w:rsid w:val="00A6155C"/>
    <w:rsid w:val="00A8079E"/>
    <w:rsid w:val="00A90328"/>
    <w:rsid w:val="00A92D66"/>
    <w:rsid w:val="00AA4262"/>
    <w:rsid w:val="00AB5A90"/>
    <w:rsid w:val="00AB7449"/>
    <w:rsid w:val="00AE4AA5"/>
    <w:rsid w:val="00AE7FA9"/>
    <w:rsid w:val="00B147EB"/>
    <w:rsid w:val="00B22155"/>
    <w:rsid w:val="00B76AA9"/>
    <w:rsid w:val="00B80FAB"/>
    <w:rsid w:val="00B81C88"/>
    <w:rsid w:val="00BA2842"/>
    <w:rsid w:val="00BA5C83"/>
    <w:rsid w:val="00BC6A7D"/>
    <w:rsid w:val="00BD4829"/>
    <w:rsid w:val="00BD6002"/>
    <w:rsid w:val="00BD719F"/>
    <w:rsid w:val="00BF5442"/>
    <w:rsid w:val="00C177A5"/>
    <w:rsid w:val="00C35FEE"/>
    <w:rsid w:val="00C50535"/>
    <w:rsid w:val="00C6153C"/>
    <w:rsid w:val="00C906EF"/>
    <w:rsid w:val="00CC7D74"/>
    <w:rsid w:val="00D02F97"/>
    <w:rsid w:val="00D45530"/>
    <w:rsid w:val="00D45A0E"/>
    <w:rsid w:val="00D45D23"/>
    <w:rsid w:val="00D47DF3"/>
    <w:rsid w:val="00D723D1"/>
    <w:rsid w:val="00D80C60"/>
    <w:rsid w:val="00D8525F"/>
    <w:rsid w:val="00DA0C4D"/>
    <w:rsid w:val="00DA5DA7"/>
    <w:rsid w:val="00DE3935"/>
    <w:rsid w:val="00DE6B32"/>
    <w:rsid w:val="00DF26B8"/>
    <w:rsid w:val="00E12C68"/>
    <w:rsid w:val="00E2325B"/>
    <w:rsid w:val="00E24075"/>
    <w:rsid w:val="00E270C9"/>
    <w:rsid w:val="00E35F38"/>
    <w:rsid w:val="00E46F27"/>
    <w:rsid w:val="00E509CC"/>
    <w:rsid w:val="00E56DC0"/>
    <w:rsid w:val="00E71A04"/>
    <w:rsid w:val="00E90DA6"/>
    <w:rsid w:val="00E96342"/>
    <w:rsid w:val="00EA2FEA"/>
    <w:rsid w:val="00EA56CB"/>
    <w:rsid w:val="00EA7853"/>
    <w:rsid w:val="00F000B1"/>
    <w:rsid w:val="00F012D3"/>
    <w:rsid w:val="00F044C3"/>
    <w:rsid w:val="00F10D04"/>
    <w:rsid w:val="00F169E3"/>
    <w:rsid w:val="00F33334"/>
    <w:rsid w:val="00F35D4B"/>
    <w:rsid w:val="00F3746B"/>
    <w:rsid w:val="00F572CB"/>
    <w:rsid w:val="00F621AF"/>
    <w:rsid w:val="00F8024E"/>
    <w:rsid w:val="00F82447"/>
    <w:rsid w:val="00F868E5"/>
    <w:rsid w:val="00F91659"/>
    <w:rsid w:val="00FB2F32"/>
    <w:rsid w:val="00FC3191"/>
    <w:rsid w:val="00FE0F1F"/>
    <w:rsid w:val="00FF61F3"/>
    <w:rsid w:val="0E327CAD"/>
    <w:rsid w:val="403C3C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批注框文本 字符"/>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8191C3-E623-4268-8752-389E08BF5F25}">
  <ds:schemaRefs/>
</ds:datastoreItem>
</file>

<file path=docProps/app.xml><?xml version="1.0" encoding="utf-8"?>
<Properties xmlns="http://schemas.openxmlformats.org/officeDocument/2006/extended-properties" xmlns:vt="http://schemas.openxmlformats.org/officeDocument/2006/docPropsVTypes">
  <Template>Normal</Template>
  <Pages>17</Pages>
  <Words>5728</Words>
  <Characters>6248</Characters>
  <Lines>52</Lines>
  <Paragraphs>14</Paragraphs>
  <TotalTime>693</TotalTime>
  <ScaleCrop>false</ScaleCrop>
  <LinksUpToDate>false</LinksUpToDate>
  <CharactersWithSpaces>6331</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2019-02-15T06:58:00Z</dcterms:created>
  <dc:creator>Windows 用户</dc:creator>
  <cp:lastModifiedBy>Administrator</cp:lastModifiedBy>
  <cp:lastPrinted>2021-04-14T02:06:00Z</cp:lastPrinted>
  <dcterms:modified xsi:type="dcterms:W3CDTF">2022-08-30T01:17:45Z</dcterms:modified>
  <cp:revision>190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1942A1C60B0043EEB930CD3DEE991C02</vt:lpwstr>
  </property>
</Properties>
</file>