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hint="eastAsia" w:ascii="宋体" w:hAnsi="宋体" w:eastAsia="宋体"/>
          <w:b/>
          <w:sz w:val="44"/>
          <w:szCs w:val="44"/>
          <w:lang w:val="en-US" w:eastAsia="zh-CN"/>
        </w:rPr>
      </w:pPr>
      <w:r>
        <w:rPr>
          <w:rFonts w:hint="eastAsia" w:ascii="宋体" w:hAnsi="宋体" w:eastAsia="宋体"/>
          <w:b/>
          <w:sz w:val="44"/>
          <w:szCs w:val="44"/>
        </w:rPr>
        <w:t>保定市徐水区</w:t>
      </w:r>
      <w:r>
        <w:rPr>
          <w:rFonts w:hint="eastAsia" w:ascii="宋体" w:hAnsi="宋体" w:eastAsia="宋体"/>
          <w:b/>
          <w:sz w:val="44"/>
          <w:szCs w:val="44"/>
          <w:lang w:val="en-US" w:eastAsia="zh-CN"/>
        </w:rPr>
        <w:t>敬老院</w:t>
      </w:r>
    </w:p>
    <w:p>
      <w:pPr>
        <w:spacing w:line="360" w:lineRule="auto"/>
        <w:jc w:val="center"/>
        <w:rPr>
          <w:rFonts w:ascii="宋体" w:hAnsi="宋体" w:eastAsia="宋体"/>
          <w:b/>
          <w:sz w:val="44"/>
          <w:szCs w:val="44"/>
        </w:rPr>
      </w:pPr>
      <w:r>
        <w:rPr>
          <w:rFonts w:ascii="宋体" w:hAnsi="宋体" w:eastAsia="宋体"/>
          <w:b/>
          <w:sz w:val="44"/>
          <w:szCs w:val="44"/>
        </w:rPr>
        <w:t>2022年</w:t>
      </w:r>
      <w:r>
        <w:rPr>
          <w:rFonts w:hint="eastAsia" w:ascii="宋体" w:hAnsi="宋体" w:eastAsia="宋体"/>
          <w:b/>
          <w:sz w:val="44"/>
          <w:szCs w:val="44"/>
          <w:lang w:val="en-US" w:eastAsia="zh-CN"/>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lang w:val="en-US" w:eastAsia="zh-CN"/>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根据《保定市徐水区民政局职能配置、内设机构和人员编制规定》，保定市徐水区</w:t>
      </w:r>
      <w:r>
        <w:rPr>
          <w:rFonts w:hint="eastAsia" w:ascii="仿宋" w:hAnsi="仿宋" w:eastAsia="仿宋"/>
          <w:sz w:val="32"/>
          <w:szCs w:val="32"/>
          <w:lang w:val="en-US" w:eastAsia="zh-CN"/>
        </w:rPr>
        <w:t>敬老院</w:t>
      </w:r>
      <w:r>
        <w:rPr>
          <w:rFonts w:hint="eastAsia"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w:t>
      </w:r>
      <w:r>
        <w:rPr>
          <w:rFonts w:hint="eastAsia" w:ascii="仿宋" w:hAnsi="仿宋" w:eastAsia="仿宋"/>
          <w:sz w:val="32"/>
          <w:szCs w:val="32"/>
          <w:lang w:val="en-US" w:eastAsia="zh-CN"/>
        </w:rPr>
        <w:t>对</w:t>
      </w:r>
      <w:r>
        <w:rPr>
          <w:rFonts w:hint="eastAsia" w:ascii="仿宋" w:hAnsi="仿宋" w:eastAsia="仿宋"/>
          <w:sz w:val="32"/>
          <w:szCs w:val="32"/>
        </w:rPr>
        <w:t>我区</w:t>
      </w:r>
      <w:r>
        <w:rPr>
          <w:rFonts w:hint="eastAsia" w:ascii="仿宋" w:hAnsi="仿宋" w:eastAsia="仿宋"/>
          <w:sz w:val="32"/>
          <w:szCs w:val="32"/>
          <w:lang w:val="en-US" w:eastAsia="zh-CN"/>
        </w:rPr>
        <w:t>单位养老</w:t>
      </w:r>
      <w:r>
        <w:rPr>
          <w:rFonts w:hint="eastAsia" w:ascii="仿宋" w:hAnsi="仿宋" w:eastAsia="仿宋"/>
          <w:sz w:val="32"/>
          <w:szCs w:val="32"/>
        </w:rPr>
        <w:t>事业发展规划和工作计划并负责组织实施。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二</w:t>
      </w:r>
      <w:r>
        <w:rPr>
          <w:rFonts w:hint="eastAsia" w:ascii="仿宋" w:hAnsi="仿宋" w:eastAsia="仿宋"/>
          <w:sz w:val="32"/>
          <w:szCs w:val="32"/>
        </w:rPr>
        <w:t>）承担城乡社会救助体系建设；负责全区城乡居民最低生活保障、城乡特困供养、临时救助和生活无着流浪乞讨人员救助工作。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三</w:t>
      </w:r>
      <w:r>
        <w:rPr>
          <w:rFonts w:hint="eastAsia" w:ascii="仿宋" w:hAnsi="仿宋" w:eastAsia="仿宋"/>
          <w:sz w:val="32"/>
          <w:szCs w:val="32"/>
        </w:rPr>
        <w:t>）负责全区儿童收养工作。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四</w:t>
      </w:r>
      <w:r>
        <w:rPr>
          <w:rFonts w:hint="eastAsia" w:ascii="仿宋" w:hAnsi="仿宋" w:eastAsia="仿宋"/>
          <w:sz w:val="32"/>
          <w:szCs w:val="32"/>
        </w:rPr>
        <w:t>）承担特殊困难老年人救助工作。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五</w:t>
      </w:r>
      <w:r>
        <w:rPr>
          <w:rFonts w:hint="eastAsia" w:ascii="仿宋" w:hAnsi="仿宋" w:eastAsia="仿宋"/>
          <w:sz w:val="32"/>
          <w:szCs w:val="32"/>
        </w:rPr>
        <w:t>）负责推进全区</w:t>
      </w:r>
      <w:r>
        <w:rPr>
          <w:rFonts w:hint="eastAsia" w:ascii="仿宋" w:hAnsi="仿宋" w:eastAsia="仿宋"/>
          <w:sz w:val="32"/>
          <w:szCs w:val="32"/>
          <w:lang w:val="en-US" w:eastAsia="zh-CN"/>
        </w:rPr>
        <w:t>养老</w:t>
      </w:r>
      <w:r>
        <w:rPr>
          <w:rFonts w:hint="eastAsia" w:ascii="仿宋" w:hAnsi="仿宋" w:eastAsia="仿宋"/>
          <w:sz w:val="32"/>
          <w:szCs w:val="32"/>
        </w:rPr>
        <w:t>系统安全生产方面的规章制度建设，组织开展本系统安全宣传教育工作；督促本系统重点单位建立健全安全管理制度和应急预案，落实安全防范措施，消除事故隐患。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六</w:t>
      </w:r>
      <w:r>
        <w:rPr>
          <w:rFonts w:hint="eastAsia" w:ascii="仿宋" w:hAnsi="仿宋" w:eastAsia="仿宋"/>
          <w:sz w:val="32"/>
          <w:szCs w:val="32"/>
        </w:rPr>
        <w:t>）完成</w:t>
      </w:r>
      <w:r>
        <w:rPr>
          <w:rFonts w:hint="eastAsia" w:ascii="仿宋" w:hAnsi="仿宋" w:eastAsia="仿宋"/>
          <w:sz w:val="32"/>
          <w:szCs w:val="32"/>
          <w:lang w:val="en-US" w:eastAsia="zh-CN"/>
        </w:rPr>
        <w:t>上级部门</w:t>
      </w:r>
      <w:r>
        <w:rPr>
          <w:rFonts w:hint="eastAsia" w:ascii="仿宋" w:hAnsi="仿宋" w:eastAsia="仿宋"/>
          <w:sz w:val="32"/>
          <w:szCs w:val="32"/>
        </w:rPr>
        <w:t>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8"/>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hint="eastAsia" w:ascii="仿宋_GB2312" w:hAnsi="仿宋" w:eastAsia="仿宋_GB2312"/>
                <w:bCs/>
                <w:sz w:val="24"/>
                <w:szCs w:val="24"/>
                <w:lang w:eastAsia="zh-CN"/>
              </w:rPr>
            </w:pPr>
            <w:r>
              <w:rPr>
                <w:rFonts w:hint="eastAsia" w:ascii="仿宋_GB2312" w:hAnsi="仿宋" w:eastAsia="仿宋_GB2312"/>
                <w:bCs/>
                <w:sz w:val="24"/>
                <w:szCs w:val="24"/>
                <w:lang w:val="en-US" w:eastAsia="zh-CN"/>
              </w:rPr>
              <w:t>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第二部分：</w:t>
      </w:r>
      <w:r>
        <w:rPr>
          <w:rFonts w:hint="eastAsia" w:ascii="方正小标宋_GBK" w:eastAsia="方正小标宋_GBK"/>
          <w:sz w:val="44"/>
          <w:highlight w:val="none"/>
          <w:lang w:val="en-US" w:eastAsia="zh-CN"/>
        </w:rPr>
        <w:t>单位</w:t>
      </w:r>
      <w:r>
        <w:rPr>
          <w:rFonts w:hint="eastAsia" w:ascii="方正小标宋_GBK" w:eastAsia="方正小标宋_GBK"/>
          <w:sz w:val="44"/>
          <w:highlight w:val="none"/>
        </w:rPr>
        <w:t>预算安排的总体情况</w:t>
      </w:r>
      <w:r>
        <w:rPr>
          <w:rFonts w:ascii="方正小标宋_GBK" w:eastAsia="方正小标宋_GBK"/>
          <w:sz w:val="44"/>
          <w:highlight w:val="none"/>
        </w:rPr>
        <w:t xml:space="preserve"> </w:t>
      </w:r>
    </w:p>
    <w:p>
      <w:pPr>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rPr>
        <w:t>按照预算管理有关规定，目前我区</w:t>
      </w:r>
      <w:r>
        <w:rPr>
          <w:rFonts w:hint="eastAsia" w:ascii="仿宋" w:hAnsi="仿宋" w:eastAsia="仿宋"/>
          <w:sz w:val="32"/>
          <w:szCs w:val="32"/>
          <w:highlight w:val="none"/>
          <w:lang w:val="en-US" w:eastAsia="zh-CN"/>
        </w:rPr>
        <w:t>单位</w:t>
      </w:r>
      <w:r>
        <w:rPr>
          <w:rFonts w:hint="eastAsia" w:ascii="仿宋" w:hAnsi="仿宋" w:eastAsia="仿宋"/>
          <w:sz w:val="32"/>
          <w:szCs w:val="32"/>
          <w:highlight w:val="none"/>
        </w:rPr>
        <w:t>预算的编制实行综合预算制度，即全部收入和支出都反映</w:t>
      </w:r>
      <w:r>
        <w:rPr>
          <w:rFonts w:ascii="仿宋" w:hAnsi="仿宋" w:eastAsia="仿宋"/>
          <w:sz w:val="32"/>
          <w:szCs w:val="32"/>
          <w:highlight w:val="none"/>
        </w:rPr>
        <w:t>在</w:t>
      </w:r>
      <w:r>
        <w:rPr>
          <w:rFonts w:hint="eastAsia" w:ascii="仿宋" w:hAnsi="仿宋" w:eastAsia="仿宋"/>
          <w:sz w:val="32"/>
          <w:szCs w:val="32"/>
          <w:highlight w:val="none"/>
        </w:rPr>
        <w:t>预算中。</w:t>
      </w:r>
    </w:p>
    <w:p>
      <w:pPr>
        <w:spacing w:line="360" w:lineRule="auto"/>
        <w:ind w:firstLine="643" w:firstLineChars="200"/>
        <w:rPr>
          <w:rFonts w:ascii="仿宋" w:hAnsi="仿宋" w:eastAsia="仿宋"/>
          <w:b/>
          <w:sz w:val="32"/>
          <w:szCs w:val="32"/>
          <w:highlight w:val="none"/>
        </w:rPr>
      </w:pPr>
      <w:r>
        <w:rPr>
          <w:rFonts w:hint="eastAsia" w:ascii="仿宋" w:hAnsi="仿宋" w:eastAsia="仿宋"/>
          <w:b/>
          <w:sz w:val="32"/>
          <w:szCs w:val="32"/>
          <w:highlight w:val="none"/>
        </w:rPr>
        <w:t>一、收入说明</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2022年预算收入为</w:t>
      </w:r>
      <w:r>
        <w:rPr>
          <w:rFonts w:hint="eastAsia" w:ascii="仿宋" w:hAnsi="仿宋" w:eastAsia="仿宋"/>
          <w:color w:val="000000" w:themeColor="text1"/>
          <w:sz w:val="32"/>
          <w:szCs w:val="32"/>
          <w:highlight w:val="none"/>
        </w:rPr>
        <w:t>377.249612</w:t>
      </w:r>
      <w:r>
        <w:rPr>
          <w:rFonts w:ascii="仿宋" w:hAnsi="仿宋" w:eastAsia="仿宋"/>
          <w:color w:val="000000" w:themeColor="text1"/>
          <w:sz w:val="32"/>
          <w:szCs w:val="32"/>
          <w:highlight w:val="none"/>
        </w:rPr>
        <w:t>万元,其中：一般公共预算收入</w:t>
      </w:r>
      <w:r>
        <w:rPr>
          <w:rFonts w:hint="eastAsia" w:ascii="仿宋" w:hAnsi="仿宋" w:eastAsia="仿宋"/>
          <w:color w:val="000000" w:themeColor="text1"/>
          <w:sz w:val="32"/>
          <w:szCs w:val="32"/>
          <w:highlight w:val="none"/>
        </w:rPr>
        <w:t>307.249612</w:t>
      </w:r>
      <w:r>
        <w:rPr>
          <w:rFonts w:ascii="仿宋" w:hAnsi="仿宋" w:eastAsia="仿宋"/>
          <w:color w:val="000000" w:themeColor="text1"/>
          <w:sz w:val="32"/>
          <w:szCs w:val="32"/>
          <w:highlight w:val="none"/>
        </w:rPr>
        <w:t>万元，基金预算收入</w:t>
      </w:r>
      <w:r>
        <w:rPr>
          <w:rFonts w:hint="eastAsia" w:ascii="仿宋" w:hAnsi="仿宋" w:eastAsia="仿宋"/>
          <w:color w:val="000000" w:themeColor="text1"/>
          <w:sz w:val="32"/>
          <w:szCs w:val="32"/>
          <w:highlight w:val="none"/>
        </w:rPr>
        <w:t>70</w:t>
      </w:r>
      <w:r>
        <w:rPr>
          <w:rFonts w:ascii="仿宋" w:hAnsi="仿宋" w:eastAsia="仿宋"/>
          <w:color w:val="000000" w:themeColor="text1"/>
          <w:sz w:val="32"/>
          <w:szCs w:val="32"/>
          <w:highlight w:val="none"/>
        </w:rPr>
        <w:t>万元，</w:t>
      </w:r>
      <w:r>
        <w:rPr>
          <w:rFonts w:hint="eastAsia" w:ascii="仿宋" w:hAnsi="仿宋" w:eastAsia="仿宋"/>
          <w:color w:val="000000" w:themeColor="text1"/>
          <w:sz w:val="32"/>
          <w:szCs w:val="32"/>
          <w:highlight w:val="none"/>
        </w:rPr>
        <w:t>上年</w:t>
      </w:r>
      <w:r>
        <w:rPr>
          <w:rFonts w:ascii="仿宋" w:hAnsi="仿宋" w:eastAsia="仿宋"/>
          <w:color w:val="000000" w:themeColor="text1"/>
          <w:sz w:val="32"/>
          <w:szCs w:val="32"/>
          <w:highlight w:val="none"/>
        </w:rPr>
        <w:t>结转结余</w:t>
      </w:r>
      <w:r>
        <w:rPr>
          <w:rFonts w:hint="eastAsia" w:ascii="仿宋" w:hAnsi="仿宋" w:eastAsia="仿宋"/>
          <w:color w:val="000000" w:themeColor="text1"/>
          <w:sz w:val="32"/>
          <w:szCs w:val="32"/>
          <w:highlight w:val="none"/>
          <w:lang w:val="en-US" w:eastAsia="zh-CN"/>
        </w:rPr>
        <w:t>0</w:t>
      </w:r>
      <w:r>
        <w:rPr>
          <w:rFonts w:hint="eastAsia" w:ascii="仿宋" w:hAnsi="仿宋" w:eastAsia="仿宋"/>
          <w:color w:val="000000" w:themeColor="text1"/>
          <w:sz w:val="32"/>
          <w:szCs w:val="32"/>
          <w:highlight w:val="none"/>
        </w:rPr>
        <w:t>万元</w:t>
      </w:r>
      <w:r>
        <w:rPr>
          <w:rFonts w:ascii="仿宋" w:hAnsi="仿宋" w:eastAsia="仿宋"/>
          <w:color w:val="000000" w:themeColor="text1"/>
          <w:sz w:val="32"/>
          <w:szCs w:val="32"/>
          <w:highlight w:val="none"/>
        </w:rPr>
        <w:t>，财政专户收入0万元，其他来源收入0万元。</w:t>
      </w:r>
    </w:p>
    <w:p>
      <w:pPr>
        <w:spacing w:line="360" w:lineRule="auto"/>
        <w:ind w:firstLine="643" w:firstLineChars="200"/>
        <w:rPr>
          <w:rFonts w:ascii="仿宋" w:hAnsi="仿宋" w:eastAsia="仿宋"/>
          <w:b/>
          <w:color w:val="000000" w:themeColor="text1"/>
          <w:sz w:val="32"/>
          <w:szCs w:val="32"/>
          <w:highlight w:val="none"/>
        </w:rPr>
      </w:pPr>
      <w:r>
        <w:rPr>
          <w:rFonts w:hint="eastAsia" w:ascii="仿宋" w:hAnsi="仿宋" w:eastAsia="仿宋"/>
          <w:b/>
          <w:color w:val="000000" w:themeColor="text1"/>
          <w:sz w:val="32"/>
          <w:szCs w:val="32"/>
          <w:highlight w:val="none"/>
        </w:rPr>
        <w:t>二、支出说明</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2022年</w:t>
      </w:r>
      <w:r>
        <w:rPr>
          <w:rFonts w:hint="eastAsia" w:ascii="仿宋" w:hAnsi="仿宋" w:eastAsia="仿宋"/>
          <w:color w:val="000000" w:themeColor="text1"/>
          <w:sz w:val="32"/>
          <w:szCs w:val="32"/>
          <w:highlight w:val="none"/>
          <w:lang w:val="en-US" w:eastAsia="zh-CN"/>
        </w:rPr>
        <w:t>单位</w:t>
      </w:r>
      <w:r>
        <w:rPr>
          <w:rFonts w:ascii="仿宋" w:hAnsi="仿宋" w:eastAsia="仿宋"/>
          <w:color w:val="000000" w:themeColor="text1"/>
          <w:sz w:val="32"/>
          <w:szCs w:val="32"/>
          <w:highlight w:val="none"/>
        </w:rPr>
        <w:t>支出预算：</w:t>
      </w:r>
      <w:r>
        <w:rPr>
          <w:rFonts w:hint="eastAsia" w:ascii="仿宋" w:hAnsi="仿宋" w:eastAsia="仿宋"/>
          <w:color w:val="000000" w:themeColor="text1"/>
          <w:sz w:val="32"/>
          <w:szCs w:val="32"/>
          <w:highlight w:val="none"/>
        </w:rPr>
        <w:t>377.249612</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基本支出179.172825万元</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 xml:space="preserve">    其中：人员经费</w:t>
      </w:r>
      <w:r>
        <w:rPr>
          <w:rFonts w:hint="eastAsia" w:ascii="仿宋" w:hAnsi="仿宋" w:eastAsia="仿宋"/>
          <w:color w:val="000000" w:themeColor="text1"/>
          <w:sz w:val="32"/>
          <w:szCs w:val="32"/>
          <w:highlight w:val="none"/>
        </w:rPr>
        <w:t>79.517351</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 xml:space="preserve">          日常公用经费</w:t>
      </w:r>
      <w:r>
        <w:rPr>
          <w:rFonts w:hint="eastAsia" w:ascii="仿宋" w:hAnsi="仿宋" w:eastAsia="仿宋"/>
          <w:color w:val="000000" w:themeColor="text1"/>
          <w:sz w:val="32"/>
          <w:szCs w:val="32"/>
          <w:highlight w:val="none"/>
        </w:rPr>
        <w:t>99.655474</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项目支出198.076787</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 xml:space="preserve">    其中：本级支出</w:t>
      </w:r>
      <w:r>
        <w:rPr>
          <w:rFonts w:hint="eastAsia" w:ascii="仿宋" w:hAnsi="仿宋" w:eastAsia="仿宋"/>
          <w:color w:val="000000" w:themeColor="text1"/>
          <w:sz w:val="32"/>
          <w:szCs w:val="32"/>
          <w:highlight w:val="none"/>
        </w:rPr>
        <w:t>198.076787</w:t>
      </w:r>
      <w:r>
        <w:rPr>
          <w:rFonts w:ascii="仿宋" w:hAnsi="仿宋" w:eastAsia="仿宋"/>
          <w:color w:val="000000" w:themeColor="text1"/>
          <w:sz w:val="32"/>
          <w:szCs w:val="32"/>
          <w:highlight w:val="none"/>
        </w:rPr>
        <w:t>万元</w:t>
      </w:r>
    </w:p>
    <w:p>
      <w:pPr>
        <w:spacing w:line="360" w:lineRule="auto"/>
        <w:ind w:firstLine="643" w:firstLineChars="200"/>
        <w:rPr>
          <w:rFonts w:ascii="仿宋" w:hAnsi="仿宋" w:eastAsia="仿宋"/>
          <w:b/>
          <w:sz w:val="32"/>
          <w:szCs w:val="32"/>
          <w:highlight w:val="none"/>
        </w:rPr>
      </w:pPr>
      <w:r>
        <w:rPr>
          <w:rFonts w:hint="eastAsia" w:ascii="仿宋" w:hAnsi="仿宋" w:eastAsia="仿宋"/>
          <w:b/>
          <w:sz w:val="32"/>
          <w:szCs w:val="32"/>
          <w:highlight w:val="none"/>
        </w:rPr>
        <w:t>三、比上年增减情况</w:t>
      </w:r>
    </w:p>
    <w:p>
      <w:pPr>
        <w:spacing w:line="360" w:lineRule="auto"/>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本年度预算收支安排377.249612万元，较上年</w:t>
      </w:r>
      <w:r>
        <w:rPr>
          <w:rFonts w:hint="eastAsia" w:ascii="仿宋" w:hAnsi="仿宋" w:eastAsia="仿宋"/>
          <w:color w:val="auto"/>
          <w:sz w:val="32"/>
          <w:szCs w:val="32"/>
          <w:highlight w:val="none"/>
          <w:lang w:val="en-US" w:eastAsia="zh-CN"/>
        </w:rPr>
        <w:t>增加277.349612</w:t>
      </w:r>
      <w:r>
        <w:rPr>
          <w:rFonts w:ascii="仿宋" w:hAnsi="仿宋" w:eastAsia="仿宋"/>
          <w:color w:val="auto"/>
          <w:sz w:val="32"/>
          <w:szCs w:val="32"/>
          <w:highlight w:val="none"/>
        </w:rPr>
        <w:t>万元。其中:基本支出增加</w:t>
      </w:r>
      <w:r>
        <w:rPr>
          <w:rFonts w:hint="eastAsia" w:ascii="仿宋" w:hAnsi="仿宋" w:eastAsia="仿宋"/>
          <w:color w:val="auto"/>
          <w:sz w:val="32"/>
          <w:szCs w:val="32"/>
          <w:highlight w:val="none"/>
          <w:lang w:val="en-US" w:eastAsia="zh-CN"/>
        </w:rPr>
        <w:t>100.662825</w:t>
      </w:r>
      <w:r>
        <w:rPr>
          <w:rFonts w:ascii="仿宋" w:hAnsi="仿宋" w:eastAsia="仿宋"/>
          <w:color w:val="auto"/>
          <w:sz w:val="32"/>
          <w:szCs w:val="32"/>
          <w:highlight w:val="none"/>
        </w:rPr>
        <w:t>万元</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主要原因是</w:t>
      </w:r>
      <w:r>
        <w:rPr>
          <w:rFonts w:hint="eastAsia" w:ascii="仿宋" w:hAnsi="仿宋" w:eastAsia="仿宋"/>
          <w:color w:val="auto"/>
          <w:sz w:val="32"/>
          <w:szCs w:val="32"/>
          <w:highlight w:val="none"/>
          <w:lang w:val="en-US" w:eastAsia="zh-CN"/>
        </w:rPr>
        <w:t>社会福利事业单位支出的调整；</w:t>
      </w:r>
      <w:r>
        <w:rPr>
          <w:rFonts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增加176.686787</w:t>
      </w:r>
      <w:r>
        <w:rPr>
          <w:rFonts w:ascii="仿宋" w:hAnsi="仿宋" w:eastAsia="仿宋"/>
          <w:color w:val="auto"/>
          <w:sz w:val="32"/>
          <w:szCs w:val="32"/>
          <w:highlight w:val="none"/>
        </w:rPr>
        <w:t>万元</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主要原因是</w:t>
      </w:r>
      <w:r>
        <w:rPr>
          <w:rFonts w:hint="eastAsia" w:ascii="仿宋" w:hAnsi="仿宋" w:eastAsia="仿宋"/>
          <w:color w:val="auto"/>
          <w:sz w:val="32"/>
          <w:szCs w:val="32"/>
          <w:highlight w:val="none"/>
          <w:lang w:val="en-US" w:eastAsia="zh-CN"/>
        </w:rPr>
        <w:t>退役士兵安置和彩票公益金安排支出的调整</w:t>
      </w:r>
      <w:r>
        <w:rPr>
          <w:rFonts w:hint="eastAsia" w:ascii="仿宋" w:hAnsi="仿宋" w:eastAsia="仿宋"/>
          <w:color w:val="auto"/>
          <w:sz w:val="32"/>
          <w:szCs w:val="32"/>
          <w:highlight w:val="none"/>
          <w:lang w:eastAsia="zh-CN"/>
        </w:rPr>
        <w:t>。</w:t>
      </w:r>
    </w:p>
    <w:p>
      <w:pPr>
        <w:jc w:val="center"/>
        <w:outlineLvl w:val="0"/>
        <w:rPr>
          <w:rFonts w:ascii="仿宋" w:hAnsi="仿宋" w:eastAsia="仿宋"/>
          <w:color w:val="auto"/>
          <w:sz w:val="32"/>
          <w:szCs w:val="32"/>
          <w:highlight w:val="none"/>
        </w:rPr>
      </w:pPr>
      <w:r>
        <w:rPr>
          <w:rFonts w:hint="eastAsia" w:ascii="方正小标宋_GBK" w:eastAsia="方正小标宋_GBK"/>
          <w:color w:val="auto"/>
          <w:sz w:val="44"/>
          <w:highlight w:val="none"/>
        </w:rPr>
        <w:t>第三部分：</w:t>
      </w:r>
      <w:r>
        <w:rPr>
          <w:rFonts w:hint="eastAsia" w:ascii="方正小标宋_GBK" w:eastAsia="方正小标宋_GBK"/>
          <w:color w:val="auto"/>
          <w:sz w:val="44"/>
          <w:highlight w:val="none"/>
          <w:lang w:val="en-US" w:eastAsia="zh-CN"/>
        </w:rPr>
        <w:t>单位</w:t>
      </w:r>
      <w:r>
        <w:rPr>
          <w:rFonts w:hint="eastAsia" w:ascii="方正小标宋_GBK" w:eastAsia="方正小标宋_GBK"/>
          <w:color w:val="auto"/>
          <w:sz w:val="44"/>
          <w:highlight w:val="none"/>
        </w:rPr>
        <w:t>运行经费安排情况</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2022年我</w:t>
      </w:r>
      <w:r>
        <w:rPr>
          <w:rFonts w:hint="eastAsia" w:ascii="仿宋" w:hAnsi="仿宋" w:eastAsia="仿宋"/>
          <w:sz w:val="32"/>
          <w:szCs w:val="32"/>
          <w:highlight w:val="none"/>
          <w:lang w:val="en-US" w:eastAsia="zh-CN"/>
        </w:rPr>
        <w:t>单位</w:t>
      </w:r>
      <w:r>
        <w:rPr>
          <w:rFonts w:ascii="仿宋" w:hAnsi="仿宋" w:eastAsia="仿宋"/>
          <w:sz w:val="32"/>
          <w:szCs w:val="32"/>
          <w:highlight w:val="none"/>
        </w:rPr>
        <w:t>运行经费安排</w:t>
      </w:r>
      <w:r>
        <w:rPr>
          <w:rFonts w:hint="eastAsia" w:ascii="仿宋" w:hAnsi="仿宋" w:eastAsia="仿宋"/>
          <w:sz w:val="32"/>
          <w:szCs w:val="32"/>
          <w:highlight w:val="none"/>
          <w:lang w:val="en-US" w:eastAsia="zh-CN"/>
        </w:rPr>
        <w:t>179.172825</w:t>
      </w:r>
      <w:r>
        <w:rPr>
          <w:rFonts w:ascii="仿宋" w:hAnsi="仿宋" w:eastAsia="仿宋"/>
          <w:sz w:val="32"/>
          <w:szCs w:val="32"/>
          <w:highlight w:val="none"/>
        </w:rPr>
        <w:t>万元，</w:t>
      </w:r>
      <w:r>
        <w:rPr>
          <w:rFonts w:hint="eastAsia" w:ascii="仿宋" w:hAnsi="仿宋" w:eastAsia="仿宋"/>
          <w:sz w:val="32"/>
          <w:szCs w:val="32"/>
          <w:highlight w:val="none"/>
          <w:lang w:val="en-US" w:eastAsia="zh-CN"/>
        </w:rPr>
        <w:t>其中基本工资17.8128万元，津贴补贴4.8914万元，奖金21.726万元，绩效工资15.678684万元，机关事业单位基本养老保险缴费5.358637万元，职业年金缴费1.6135万元，职工基本医疗保险缴费2.143455万元，其他社会保障缴费0.431897万元，</w:t>
      </w:r>
      <w:bookmarkStart w:id="8" w:name="_GoBack"/>
      <w:bookmarkEnd w:id="8"/>
      <w:r>
        <w:rPr>
          <w:rFonts w:hint="eastAsia" w:ascii="仿宋" w:hAnsi="仿宋" w:eastAsia="仿宋"/>
          <w:sz w:val="32"/>
          <w:szCs w:val="32"/>
          <w:highlight w:val="none"/>
          <w:lang w:val="en-US" w:eastAsia="zh-CN"/>
        </w:rPr>
        <w:t>住房公积金4.018978万元，其他工资福利支出5.83万元；办公费54.47万元，取暖费38.64万元，</w:t>
      </w:r>
      <w:r>
        <w:rPr>
          <w:rFonts w:ascii="仿宋" w:hAnsi="仿宋" w:eastAsia="仿宋"/>
          <w:sz w:val="32"/>
          <w:szCs w:val="32"/>
          <w:highlight w:val="none"/>
        </w:rPr>
        <w:t>工会经费、福利费</w:t>
      </w:r>
      <w:r>
        <w:rPr>
          <w:rFonts w:hint="eastAsia" w:ascii="仿宋" w:hAnsi="仿宋" w:eastAsia="仿宋"/>
          <w:sz w:val="32"/>
          <w:szCs w:val="32"/>
          <w:highlight w:val="none"/>
          <w:lang w:val="en-US" w:eastAsia="zh-CN"/>
        </w:rPr>
        <w:t>1.11515</w:t>
      </w:r>
      <w:r>
        <w:rPr>
          <w:rFonts w:ascii="仿宋" w:hAnsi="仿宋" w:eastAsia="仿宋"/>
          <w:sz w:val="32"/>
          <w:szCs w:val="32"/>
          <w:highlight w:val="none"/>
        </w:rPr>
        <w:t>万元，公务用车运行维护费</w:t>
      </w:r>
      <w:r>
        <w:rPr>
          <w:rFonts w:hint="eastAsia" w:ascii="仿宋" w:hAnsi="仿宋" w:eastAsia="仿宋"/>
          <w:sz w:val="32"/>
          <w:szCs w:val="32"/>
          <w:highlight w:val="none"/>
          <w:lang w:val="en-US" w:eastAsia="zh-CN"/>
        </w:rPr>
        <w:t>2.43</w:t>
      </w:r>
      <w:r>
        <w:rPr>
          <w:rFonts w:ascii="仿宋" w:hAnsi="仿宋" w:eastAsia="仿宋"/>
          <w:sz w:val="32"/>
          <w:szCs w:val="32"/>
          <w:highlight w:val="none"/>
        </w:rPr>
        <w:t>万元</w:t>
      </w:r>
      <w:r>
        <w:rPr>
          <w:rFonts w:hint="eastAsia" w:ascii="仿宋" w:hAnsi="仿宋" w:eastAsia="仿宋"/>
          <w:sz w:val="32"/>
          <w:szCs w:val="32"/>
          <w:highlight w:val="none"/>
        </w:rPr>
        <w:t>，其他商品和服务支出</w:t>
      </w:r>
      <w:r>
        <w:rPr>
          <w:rFonts w:hint="eastAsia" w:ascii="仿宋" w:hAnsi="仿宋" w:eastAsia="仿宋"/>
          <w:sz w:val="32"/>
          <w:szCs w:val="32"/>
          <w:highlight w:val="none"/>
          <w:lang w:val="en-US" w:eastAsia="zh-CN"/>
        </w:rPr>
        <w:t>0.000324</w:t>
      </w:r>
      <w:r>
        <w:rPr>
          <w:rFonts w:ascii="仿宋" w:hAnsi="仿宋" w:eastAsia="仿宋"/>
          <w:sz w:val="32"/>
          <w:szCs w:val="32"/>
          <w:highlight w:val="none"/>
        </w:rPr>
        <w:t>万元</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对个人和家庭的补助0.012万元，办公设备购置3万元。</w:t>
      </w:r>
    </w:p>
    <w:p>
      <w:pPr>
        <w:jc w:val="both"/>
        <w:outlineLvl w:val="0"/>
        <w:rPr>
          <w:rFonts w:ascii="方正小标宋_GBK" w:eastAsia="方正小标宋_GBK"/>
          <w:sz w:val="44"/>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508"/>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1176"/>
              <w:gridCol w:w="2397"/>
            </w:tblGrid>
            <w:tr>
              <w:tblPrEx>
                <w:tblCellMar>
                  <w:top w:w="0" w:type="dxa"/>
                  <w:left w:w="108" w:type="dxa"/>
                  <w:bottom w:w="0" w:type="dxa"/>
                  <w:right w:w="108" w:type="dxa"/>
                </w:tblCellMar>
              </w:tblPrEx>
              <w:trPr>
                <w:trHeight w:val="405" w:hRule="atLeast"/>
                <w:jc w:val="center"/>
              </w:trPr>
              <w:tc>
                <w:tcPr>
                  <w:tcW w:w="8430" w:type="dxa"/>
                  <w:gridSpan w:val="5"/>
                  <w:tcBorders>
                    <w:top w:val="nil"/>
                    <w:left w:val="nil"/>
                    <w:bottom w:val="nil"/>
                    <w:right w:val="nil"/>
                  </w:tcBorders>
                  <w:vAlign w:val="center"/>
                </w:tcPr>
                <w:p>
                  <w:pPr>
                    <w:spacing w:line="360" w:lineRule="auto"/>
                    <w:rPr>
                      <w:rFonts w:ascii="黑体" w:hAnsi="黑体" w:eastAsia="黑体" w:cs="宋体"/>
                      <w:kern w:val="0"/>
                      <w:sz w:val="32"/>
                      <w:szCs w:val="32"/>
                      <w:highlight w:val="none"/>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276"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418"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176"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2397" w:type="dxa"/>
                  <w:tcBorders>
                    <w:top w:val="nil"/>
                    <w:left w:val="nil"/>
                    <w:bottom w:val="nil"/>
                    <w:right w:val="nil"/>
                  </w:tcBorders>
                  <w:vAlign w:val="center"/>
                </w:tcPr>
                <w:p>
                  <w:pPr>
                    <w:widowControl/>
                    <w:jc w:val="right"/>
                    <w:rPr>
                      <w:rFonts w:ascii="宋体" w:hAnsi="宋体" w:cs="宋体"/>
                      <w:kern w:val="0"/>
                      <w:sz w:val="24"/>
                      <w:szCs w:val="24"/>
                      <w:highlight w:val="none"/>
                    </w:rPr>
                  </w:pPr>
                  <w:r>
                    <w:rPr>
                      <w:rFonts w:hint="eastAsia" w:ascii="宋体" w:hAnsi="宋体" w:cs="宋体"/>
                      <w:kern w:val="0"/>
                      <w:sz w:val="24"/>
                      <w:szCs w:val="24"/>
                      <w:highlight w:val="none"/>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hint="eastAsia" w:ascii="仿宋_GB2312" w:hAnsi="宋体" w:eastAsia="仿宋_GB2312" w:cs="宋体"/>
                      <w:b/>
                      <w:kern w:val="0"/>
                      <w:sz w:val="24"/>
                      <w:szCs w:val="24"/>
                      <w:highlight w:val="none"/>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ascii="仿宋_GB2312" w:hAnsi="宋体" w:eastAsia="仿宋_GB2312" w:cs="宋体"/>
                      <w:b/>
                      <w:kern w:val="0"/>
                      <w:sz w:val="24"/>
                      <w:szCs w:val="24"/>
                      <w:highlight w:val="none"/>
                    </w:rPr>
                    <w:t>2021</w:t>
                  </w:r>
                  <w:r>
                    <w:rPr>
                      <w:rFonts w:hint="eastAsia" w:ascii="仿宋_GB2312" w:hAnsi="宋体" w:eastAsia="仿宋_GB2312" w:cs="宋体"/>
                      <w:b/>
                      <w:kern w:val="0"/>
                      <w:sz w:val="24"/>
                      <w:szCs w:val="24"/>
                      <w:highlight w:val="none"/>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ascii="仿宋_GB2312" w:hAnsi="宋体" w:eastAsia="仿宋_GB2312" w:cs="宋体"/>
                      <w:b/>
                      <w:kern w:val="0"/>
                      <w:sz w:val="24"/>
                      <w:szCs w:val="24"/>
                      <w:highlight w:val="none"/>
                    </w:rPr>
                    <w:t>2022</w:t>
                  </w:r>
                  <w:r>
                    <w:rPr>
                      <w:rFonts w:hint="eastAsia" w:ascii="仿宋_GB2312" w:hAnsi="宋体" w:eastAsia="仿宋_GB2312" w:cs="宋体"/>
                      <w:b/>
                      <w:kern w:val="0"/>
                      <w:sz w:val="24"/>
                      <w:szCs w:val="24"/>
                      <w:highlight w:val="none"/>
                    </w:rPr>
                    <w:t>年度预算</w:t>
                  </w:r>
                </w:p>
              </w:tc>
              <w:tc>
                <w:tcPr>
                  <w:tcW w:w="11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hint="eastAsia" w:ascii="仿宋_GB2312" w:hAnsi="宋体" w:eastAsia="仿宋_GB2312" w:cs="宋体"/>
                      <w:b/>
                      <w:kern w:val="0"/>
                      <w:sz w:val="24"/>
                      <w:szCs w:val="24"/>
                      <w:highlight w:val="none"/>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hint="eastAsia" w:ascii="仿宋_GB2312" w:hAnsi="宋体" w:eastAsia="仿宋_GB2312" w:cs="宋体"/>
                      <w:b/>
                      <w:kern w:val="0"/>
                      <w:sz w:val="24"/>
                      <w:szCs w:val="24"/>
                      <w:highlight w:val="none"/>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1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2397"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kern w:val="0"/>
                      <w:sz w:val="24"/>
                      <w:szCs w:val="24"/>
                      <w:highlight w:val="none"/>
                      <w:lang w:val="en-US" w:eastAsia="zh-CN"/>
                    </w:rPr>
                  </w:pPr>
                  <w:r>
                    <w:rPr>
                      <w:rFonts w:hint="eastAsia" w:ascii="仿宋_GB2312" w:hAnsi="宋体" w:eastAsia="仿宋_GB2312" w:cs="宋体"/>
                      <w:kern w:val="0"/>
                      <w:sz w:val="24"/>
                      <w:szCs w:val="24"/>
                      <w:highlight w:val="none"/>
                      <w:lang w:val="en-US" w:eastAsia="zh-CN"/>
                    </w:rPr>
                    <w:t>未涉及此费用</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1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lang w:val="en-US" w:eastAsia="zh-CN"/>
                    </w:rPr>
                    <w:t>未涉及此费用</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2.7</w:t>
                  </w:r>
                </w:p>
              </w:tc>
              <w:tc>
                <w:tcPr>
                  <w:tcW w:w="1418"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2.43</w:t>
                  </w:r>
                </w:p>
              </w:tc>
              <w:tc>
                <w:tcPr>
                  <w:tcW w:w="1176"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-0.27</w:t>
                  </w:r>
                </w:p>
              </w:tc>
              <w:tc>
                <w:tcPr>
                  <w:tcW w:w="2397"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kern w:val="0"/>
                      <w:sz w:val="24"/>
                      <w:szCs w:val="24"/>
                      <w:highlight w:val="none"/>
                      <w:lang w:val="en-US" w:eastAsia="zh-CN"/>
                    </w:rPr>
                  </w:pPr>
                  <w:r>
                    <w:rPr>
                      <w:rFonts w:hint="eastAsia" w:ascii="仿宋_GB2312" w:hAnsi="宋体" w:eastAsia="仿宋_GB2312" w:cs="宋体"/>
                      <w:kern w:val="0"/>
                      <w:sz w:val="24"/>
                      <w:szCs w:val="24"/>
                    </w:rPr>
                    <w:t>核定经费降低</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szCs w:val="24"/>
                      <w:highlight w:val="none"/>
                      <w:lang w:eastAsia="zh-CN"/>
                    </w:rPr>
                  </w:pPr>
                  <w:r>
                    <w:rPr>
                      <w:rFonts w:hint="eastAsia" w:ascii="仿宋_GB2312" w:hAnsi="宋体" w:eastAsia="仿宋_GB2312" w:cs="宋体"/>
                      <w:color w:val="auto"/>
                      <w:kern w:val="0"/>
                      <w:sz w:val="24"/>
                      <w:szCs w:val="24"/>
                      <w:highlight w:val="none"/>
                      <w:lang w:val="en-US" w:eastAsia="zh-CN"/>
                    </w:rPr>
                    <w:t>0</w:t>
                  </w:r>
                </w:p>
              </w:tc>
              <w:tc>
                <w:tcPr>
                  <w:tcW w:w="1418"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szCs w:val="24"/>
                      <w:highlight w:val="none"/>
                      <w:lang w:eastAsia="zh-CN"/>
                    </w:rPr>
                  </w:pPr>
                  <w:r>
                    <w:rPr>
                      <w:rFonts w:hint="eastAsia" w:ascii="仿宋_GB2312" w:hAnsi="宋体" w:eastAsia="仿宋_GB2312" w:cs="宋体"/>
                      <w:color w:val="auto"/>
                      <w:kern w:val="0"/>
                      <w:sz w:val="24"/>
                      <w:szCs w:val="24"/>
                      <w:highlight w:val="none"/>
                      <w:lang w:val="en-US" w:eastAsia="zh-CN"/>
                    </w:rPr>
                    <w:t>0</w:t>
                  </w:r>
                </w:p>
              </w:tc>
              <w:tc>
                <w:tcPr>
                  <w:tcW w:w="1176"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szCs w:val="24"/>
                      <w:highlight w:val="none"/>
                      <w:lang w:eastAsia="zh-CN"/>
                    </w:rPr>
                  </w:pPr>
                  <w:r>
                    <w:rPr>
                      <w:rFonts w:hint="eastAsia" w:ascii="仿宋_GB2312" w:hAnsi="宋体" w:eastAsia="仿宋_GB2312" w:cs="宋体"/>
                      <w:color w:val="auto"/>
                      <w:kern w:val="0"/>
                      <w:sz w:val="24"/>
                      <w:szCs w:val="24"/>
                      <w:highlight w:val="none"/>
                      <w:lang w:val="en-US" w:eastAsia="zh-CN"/>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lang w:val="en-US" w:eastAsia="zh-CN"/>
                    </w:rPr>
                    <w:t>未涉及此费用</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合计</w:t>
                  </w:r>
                </w:p>
              </w:tc>
              <w:tc>
                <w:tcPr>
                  <w:tcW w:w="1276"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2.7</w:t>
                  </w:r>
                </w:p>
              </w:tc>
              <w:tc>
                <w:tcPr>
                  <w:tcW w:w="1418"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2.43</w:t>
                  </w:r>
                </w:p>
              </w:tc>
              <w:tc>
                <w:tcPr>
                  <w:tcW w:w="1176"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-0.27</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highlight w:val="none"/>
                    </w:rPr>
                  </w:pPr>
                  <w:r>
                    <w:rPr>
                      <w:rFonts w:hint="eastAsia" w:ascii="仿宋_GB2312" w:hAnsi="宋体" w:eastAsia="仿宋_GB2312" w:cs="宋体"/>
                      <w:kern w:val="0"/>
                      <w:sz w:val="24"/>
                      <w:szCs w:val="24"/>
                    </w:rPr>
                    <w:t>核定经费降低</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276"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418"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176"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2397" w:type="dxa"/>
                  <w:tcBorders>
                    <w:top w:val="nil"/>
                    <w:left w:val="nil"/>
                    <w:bottom w:val="nil"/>
                    <w:right w:val="nil"/>
                  </w:tcBorders>
                  <w:vAlign w:val="center"/>
                </w:tcPr>
                <w:p>
                  <w:pPr>
                    <w:widowControl/>
                    <w:jc w:val="left"/>
                    <w:rPr>
                      <w:rFonts w:ascii="宋体" w:hAnsi="宋体" w:cs="宋体"/>
                      <w:kern w:val="0"/>
                      <w:sz w:val="24"/>
                      <w:szCs w:val="24"/>
                      <w:highlight w:val="none"/>
                    </w:rPr>
                  </w:pPr>
                </w:p>
              </w:tc>
            </w:tr>
          </w:tbl>
          <w:p>
            <w:pPr>
              <w:widowControl/>
              <w:spacing w:line="520" w:lineRule="exact"/>
              <w:ind w:right="480"/>
              <w:rPr>
                <w:rFonts w:ascii="仿宋" w:hAnsi="仿宋" w:eastAsia="仿宋" w:cs="宋体"/>
                <w:kern w:val="0"/>
                <w:sz w:val="24"/>
                <w:szCs w:val="24"/>
                <w:highlight w:val="none"/>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lang w:val="en-US" w:eastAsia="zh-CN"/>
        </w:rPr>
        <w:t>单位</w:t>
      </w:r>
      <w:r>
        <w:rPr>
          <w:rFonts w:hint="eastAsia" w:ascii="方正小标宋_GBK" w:eastAsia="方正小标宋_GBK"/>
          <w:sz w:val="44"/>
        </w:rPr>
        <w:t>整体</w:t>
      </w:r>
      <w:r>
        <w:rPr>
          <w:rFonts w:ascii="方正小标宋_GBK" w:eastAsia="方正小标宋_GBK"/>
          <w:sz w:val="44"/>
        </w:rPr>
        <w:t>绩效目标</w:t>
      </w:r>
    </w:p>
    <w:p>
      <w:pPr>
        <w:jc w:val="center"/>
        <w:outlineLvl w:val="0"/>
        <w:rPr>
          <w:rFonts w:ascii="方正小标宋_GBK" w:eastAsia="方正小标宋_GBK"/>
          <w:sz w:val="44"/>
        </w:rPr>
      </w:pPr>
    </w:p>
    <w:p>
      <w:pPr>
        <w:pStyle w:val="14"/>
        <w:numPr>
          <w:ilvl w:val="0"/>
          <w:numId w:val="1"/>
        </w:numPr>
        <w:spacing w:line="360" w:lineRule="auto"/>
        <w:ind w:firstLineChars="0"/>
        <w:rPr>
          <w:rFonts w:ascii="仿宋" w:hAnsi="仿宋" w:eastAsia="仿宋"/>
          <w:sz w:val="32"/>
          <w:szCs w:val="32"/>
        </w:rPr>
      </w:pPr>
      <w:bookmarkStart w:id="0" w:name="_Toc_2_2_0000000001"/>
      <w:r>
        <w:rPr>
          <w:rFonts w:ascii="仿宋" w:hAnsi="仿宋" w:eastAsia="仿宋"/>
          <w:sz w:val="32"/>
          <w:szCs w:val="32"/>
        </w:rPr>
        <w:t>总体绩效目标</w:t>
      </w:r>
      <w:bookmarkEnd w:id="0"/>
    </w:p>
    <w:p>
      <w:pPr>
        <w:spacing w:line="360" w:lineRule="auto"/>
        <w:ind w:firstLine="640" w:firstLineChars="200"/>
        <w:rPr>
          <w:rFonts w:ascii="仿宋" w:hAnsi="仿宋" w:eastAsia="仿宋"/>
          <w:sz w:val="32"/>
          <w:szCs w:val="32"/>
        </w:rPr>
      </w:pPr>
      <w:r>
        <w:rPr>
          <w:rFonts w:ascii="仿宋" w:hAnsi="仿宋" w:eastAsia="仿宋"/>
          <w:sz w:val="32"/>
          <w:szCs w:val="32"/>
        </w:rPr>
        <w:t>聚焦特殊群体、群众关切，以做好</w:t>
      </w:r>
      <w:r>
        <w:rPr>
          <w:rFonts w:hint="eastAsia" w:ascii="仿宋" w:hAnsi="仿宋" w:eastAsia="仿宋"/>
          <w:sz w:val="32"/>
          <w:szCs w:val="32"/>
          <w:lang w:val="en-US" w:eastAsia="zh-CN"/>
        </w:rPr>
        <w:t>养老服务体系建设</w:t>
      </w:r>
      <w:r>
        <w:rPr>
          <w:rFonts w:ascii="仿宋" w:hAnsi="仿宋" w:eastAsia="仿宋"/>
          <w:sz w:val="32"/>
          <w:szCs w:val="32"/>
        </w:rPr>
        <w:t>保障</w:t>
      </w:r>
      <w:r>
        <w:rPr>
          <w:rFonts w:hint="eastAsia" w:ascii="仿宋" w:hAnsi="仿宋" w:eastAsia="仿宋"/>
          <w:sz w:val="32"/>
          <w:szCs w:val="32"/>
          <w:lang w:eastAsia="zh-CN"/>
        </w:rPr>
        <w:t>。</w:t>
      </w:r>
      <w:r>
        <w:rPr>
          <w:rFonts w:ascii="仿宋" w:hAnsi="仿宋" w:eastAsia="仿宋"/>
          <w:sz w:val="32"/>
          <w:szCs w:val="32"/>
        </w:rPr>
        <w:t>强化</w:t>
      </w:r>
      <w:r>
        <w:rPr>
          <w:rFonts w:hint="eastAsia" w:ascii="仿宋" w:hAnsi="仿宋" w:eastAsia="仿宋"/>
          <w:sz w:val="32"/>
          <w:szCs w:val="32"/>
          <w:lang w:val="en-US" w:eastAsia="zh-CN"/>
        </w:rPr>
        <w:t>养老服务体系建设</w:t>
      </w:r>
      <w:r>
        <w:rPr>
          <w:rFonts w:ascii="仿宋" w:hAnsi="仿宋" w:eastAsia="仿宋"/>
          <w:sz w:val="32"/>
          <w:szCs w:val="32"/>
        </w:rPr>
        <w:t>保障，确保到2020年农村低保标准不低于扶贫标准,生活不能自理特困人员集中供养率达进一步提高，逐步提高孤儿、困难和重度残疾人生活护理水平。2022年大力发展</w:t>
      </w:r>
      <w:r>
        <w:rPr>
          <w:rFonts w:hint="eastAsia" w:ascii="仿宋" w:hAnsi="仿宋" w:eastAsia="仿宋"/>
          <w:sz w:val="32"/>
          <w:szCs w:val="32"/>
          <w:lang w:val="en-US" w:eastAsia="zh-CN"/>
        </w:rPr>
        <w:t>养老服务</w:t>
      </w:r>
      <w:r>
        <w:rPr>
          <w:rFonts w:ascii="仿宋" w:hAnsi="仿宋" w:eastAsia="仿宋"/>
          <w:sz w:val="32"/>
          <w:szCs w:val="32"/>
        </w:rPr>
        <w:t>事业。</w:t>
      </w:r>
    </w:p>
    <w:p>
      <w:pPr>
        <w:spacing w:line="360" w:lineRule="auto"/>
        <w:ind w:firstLine="640" w:firstLineChars="200"/>
        <w:rPr>
          <w:rFonts w:ascii="仿宋" w:hAnsi="仿宋" w:eastAsia="仿宋"/>
          <w:sz w:val="32"/>
          <w:szCs w:val="32"/>
        </w:rPr>
      </w:pPr>
      <w:bookmarkStart w:id="1" w:name="_Toc_2_2_0000000002"/>
      <w:r>
        <w:rPr>
          <w:rFonts w:ascii="仿宋" w:hAnsi="仿宋" w:eastAsia="仿宋"/>
          <w:sz w:val="32"/>
          <w:szCs w:val="32"/>
        </w:rPr>
        <w:t>二、分项绩效目标</w:t>
      </w:r>
      <w:bookmarkEnd w:id="1"/>
    </w:p>
    <w:p>
      <w:pPr>
        <w:spacing w:line="360" w:lineRule="auto"/>
        <w:ind w:firstLine="640" w:firstLineChars="200"/>
        <w:rPr>
          <w:rFonts w:ascii="仿宋" w:hAnsi="仿宋" w:eastAsia="仿宋"/>
          <w:sz w:val="32"/>
          <w:szCs w:val="32"/>
        </w:rPr>
      </w:pPr>
      <w:r>
        <w:rPr>
          <w:rFonts w:ascii="仿宋" w:hAnsi="仿宋" w:eastAsia="仿宋"/>
          <w:sz w:val="32"/>
          <w:szCs w:val="32"/>
        </w:rPr>
        <w:t>（一）困难群众基本生活保障</w:t>
      </w:r>
    </w:p>
    <w:p>
      <w:pPr>
        <w:spacing w:line="360" w:lineRule="auto"/>
        <w:ind w:firstLine="640" w:firstLineChars="200"/>
        <w:rPr>
          <w:rFonts w:ascii="仿宋" w:hAnsi="仿宋" w:eastAsia="仿宋"/>
          <w:sz w:val="32"/>
          <w:szCs w:val="32"/>
        </w:rPr>
      </w:pPr>
      <w:r>
        <w:rPr>
          <w:rFonts w:ascii="仿宋" w:hAnsi="仿宋" w:eastAsia="仿宋"/>
          <w:sz w:val="32"/>
          <w:szCs w:val="32"/>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pPr>
        <w:spacing w:line="360" w:lineRule="auto"/>
        <w:ind w:firstLine="640" w:firstLineChars="200"/>
        <w:rPr>
          <w:rFonts w:ascii="仿宋" w:hAnsi="仿宋" w:eastAsia="仿宋"/>
          <w:sz w:val="32"/>
          <w:szCs w:val="32"/>
        </w:rPr>
      </w:pPr>
      <w:r>
        <w:rPr>
          <w:rFonts w:ascii="仿宋" w:hAnsi="仿宋" w:eastAsia="仿宋"/>
          <w:sz w:val="32"/>
          <w:szCs w:val="32"/>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pPr>
        <w:spacing w:line="360" w:lineRule="auto"/>
        <w:ind w:firstLine="640" w:firstLineChars="200"/>
        <w:rPr>
          <w:rFonts w:ascii="仿宋" w:hAnsi="仿宋" w:eastAsia="仿宋"/>
          <w:sz w:val="32"/>
          <w:szCs w:val="32"/>
        </w:rPr>
      </w:pPr>
      <w:bookmarkStart w:id="2" w:name="_Toc_2_2_0000000003"/>
      <w:r>
        <w:rPr>
          <w:rFonts w:ascii="仿宋" w:hAnsi="仿宋" w:eastAsia="仿宋"/>
          <w:sz w:val="32"/>
          <w:szCs w:val="32"/>
        </w:rPr>
        <w:t>三、工作保障措施</w:t>
      </w:r>
      <w:bookmarkEnd w:id="2"/>
    </w:p>
    <w:p>
      <w:pPr>
        <w:spacing w:line="360" w:lineRule="auto"/>
        <w:ind w:firstLine="640" w:firstLineChars="200"/>
        <w:rPr>
          <w:rFonts w:ascii="仿宋" w:hAnsi="仿宋" w:eastAsia="仿宋"/>
          <w:sz w:val="32"/>
          <w:szCs w:val="32"/>
        </w:rPr>
      </w:pPr>
      <w:r>
        <w:rPr>
          <w:rFonts w:ascii="仿宋" w:hAnsi="仿宋" w:eastAsia="仿宋"/>
          <w:sz w:val="32"/>
          <w:szCs w:val="32"/>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pPr>
        <w:spacing w:line="360" w:lineRule="auto"/>
        <w:ind w:firstLine="640" w:firstLineChars="200"/>
        <w:rPr>
          <w:rFonts w:ascii="仿宋" w:hAnsi="仿宋" w:eastAsia="仿宋"/>
          <w:sz w:val="32"/>
          <w:szCs w:val="32"/>
        </w:rPr>
      </w:pPr>
      <w:r>
        <w:rPr>
          <w:rFonts w:ascii="仿宋" w:hAnsi="仿宋" w:eastAsia="仿宋"/>
          <w:sz w:val="32"/>
          <w:szCs w:val="32"/>
        </w:rPr>
        <w:t>（二）注重实效，加强预算绩效管理。落实全面预算绩效管理要求。围绕</w:t>
      </w:r>
      <w:r>
        <w:rPr>
          <w:rFonts w:hint="eastAsia" w:ascii="仿宋" w:hAnsi="仿宋" w:eastAsia="仿宋"/>
          <w:sz w:val="32"/>
          <w:szCs w:val="32"/>
          <w:lang w:val="en-US" w:eastAsia="zh-CN"/>
        </w:rPr>
        <w:t>单位</w:t>
      </w:r>
      <w:r>
        <w:rPr>
          <w:rFonts w:ascii="仿宋" w:hAnsi="仿宋" w:eastAsia="仿宋"/>
          <w:sz w:val="32"/>
          <w:szCs w:val="32"/>
        </w:rPr>
        <w:t>职责和事业发展规划设定绩效目标，按要求开展部门预算绩效实时监控、绩效自评和重点评价工作，对评价中发现的问题及时整改，推动提高</w:t>
      </w:r>
      <w:r>
        <w:rPr>
          <w:rFonts w:hint="eastAsia" w:ascii="仿宋" w:hAnsi="仿宋" w:eastAsia="仿宋"/>
          <w:sz w:val="32"/>
          <w:szCs w:val="32"/>
          <w:lang w:val="en-US" w:eastAsia="zh-CN"/>
        </w:rPr>
        <w:t>单位</w:t>
      </w:r>
      <w:r>
        <w:rPr>
          <w:rFonts w:ascii="仿宋" w:hAnsi="仿宋" w:eastAsia="仿宋"/>
          <w:sz w:val="32"/>
          <w:szCs w:val="32"/>
        </w:rPr>
        <w:t>整体绩效管理水平。</w:t>
      </w:r>
    </w:p>
    <w:p>
      <w:pPr>
        <w:spacing w:line="360" w:lineRule="auto"/>
        <w:ind w:firstLine="640" w:firstLineChars="200"/>
        <w:rPr>
          <w:rFonts w:ascii="仿宋" w:hAnsi="仿宋" w:eastAsia="仿宋"/>
          <w:sz w:val="32"/>
          <w:szCs w:val="32"/>
        </w:rPr>
      </w:pPr>
      <w:r>
        <w:rPr>
          <w:rFonts w:ascii="仿宋" w:hAnsi="仿宋" w:eastAsia="仿宋"/>
          <w:sz w:val="32"/>
          <w:szCs w:val="32"/>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lang w:val="en-US" w:eastAsia="zh-CN"/>
        </w:rPr>
        <w:t>四</w:t>
      </w:r>
      <w:r>
        <w:rPr>
          <w:rFonts w:ascii="仿宋" w:hAnsi="仿宋" w:eastAsia="仿宋"/>
          <w:sz w:val="32"/>
          <w:szCs w:val="32"/>
        </w:rPr>
        <w:t>）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pPr>
        <w:spacing w:line="360" w:lineRule="auto"/>
        <w:ind w:firstLine="640" w:firstLineChars="200"/>
        <w:rPr>
          <w:rFonts w:ascii="仿宋" w:hAnsi="仿宋" w:eastAsia="仿宋"/>
          <w:sz w:val="32"/>
          <w:szCs w:val="32"/>
        </w:rPr>
      </w:pPr>
    </w:p>
    <w:p>
      <w:pPr>
        <w:jc w:val="center"/>
        <w:rPr>
          <w:rFonts w:hint="eastAsia" w:ascii="方正仿宋_GBK" w:hAnsi="方正仿宋_GBK" w:eastAsia="方正仿宋_GBK" w:cs="方正仿宋_GBK"/>
          <w:color w:val="000000"/>
          <w:sz w:val="28"/>
          <w:lang w:val="en-US" w:eastAsia="zh-CN"/>
        </w:rPr>
      </w:pPr>
      <w:bookmarkStart w:id="3" w:name="_Toc_4_4_0000000025"/>
      <w:r>
        <w:rPr>
          <w:rFonts w:hint="eastAsia" w:ascii="方正小标宋_GBK" w:eastAsia="方正小标宋_GBK"/>
          <w:sz w:val="44"/>
          <w:lang w:val="en-US" w:eastAsia="zh-CN"/>
        </w:rPr>
        <w:t>预算项目绩效目标</w:t>
      </w:r>
    </w:p>
    <w:p>
      <w:pPr>
        <w:jc w:val="both"/>
      </w:pPr>
      <w:r>
        <w:rPr>
          <w:rFonts w:hint="eastAsia" w:ascii="方正仿宋_GBK" w:hAnsi="方正仿宋_GBK" w:eastAsia="方正仿宋_GBK" w:cs="方正仿宋_GBK"/>
          <w:color w:val="000000"/>
          <w:sz w:val="28"/>
          <w:lang w:val="en-US" w:eastAsia="zh-CN"/>
        </w:rPr>
        <w:t>1</w:t>
      </w:r>
      <w:r>
        <w:rPr>
          <w:rFonts w:ascii="方正仿宋_GBK" w:hAnsi="方正仿宋_GBK" w:eastAsia="方正仿宋_GBK" w:cs="方正仿宋_GBK"/>
          <w:color w:val="000000"/>
          <w:sz w:val="28"/>
        </w:rPr>
        <w:t>.福彩公益金用于特困老人药费绩效目标表</w:t>
      </w:r>
      <w:bookmarkEnd w:id="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13062522P004579100020</w:t>
            </w:r>
          </w:p>
        </w:tc>
        <w:tc>
          <w:tcPr>
            <w:tcW w:w="1587" w:type="dxa"/>
            <w:vAlign w:val="center"/>
          </w:tcPr>
          <w:p>
            <w:pPr>
              <w:pStyle w:val="21"/>
            </w:pPr>
            <w:r>
              <w:t>项目名称</w:t>
            </w:r>
          </w:p>
        </w:tc>
        <w:tc>
          <w:tcPr>
            <w:tcW w:w="4422" w:type="dxa"/>
            <w:gridSpan w:val="3"/>
            <w:vAlign w:val="center"/>
          </w:tcPr>
          <w:p>
            <w:pPr>
              <w:pStyle w:val="20"/>
            </w:pPr>
            <w:r>
              <w:t>福彩公益金用于特困老人药费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40.00</w:t>
            </w:r>
          </w:p>
        </w:tc>
        <w:tc>
          <w:tcPr>
            <w:tcW w:w="1587" w:type="dxa"/>
            <w:vAlign w:val="center"/>
          </w:tcPr>
          <w:p>
            <w:pPr>
              <w:pStyle w:val="21"/>
            </w:pPr>
            <w:r>
              <w:t>其中：财政    资金</w:t>
            </w:r>
          </w:p>
        </w:tc>
        <w:tc>
          <w:tcPr>
            <w:tcW w:w="1304" w:type="dxa"/>
            <w:vAlign w:val="center"/>
          </w:tcPr>
          <w:p>
            <w:pPr>
              <w:pStyle w:val="20"/>
            </w:pPr>
            <w:r>
              <w:t>40.00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用于对区敬老院集中供养特困老人提供药费补助。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40%</w:t>
            </w:r>
          </w:p>
        </w:tc>
        <w:tc>
          <w:tcPr>
            <w:tcW w:w="1304" w:type="dxa"/>
            <w:vAlign w:val="center"/>
          </w:tcPr>
          <w:p>
            <w:pPr>
              <w:pStyle w:val="22"/>
            </w:pPr>
            <w:r>
              <w:t>60%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w:t>
            </w:r>
          </w:p>
          <w:p>
            <w:pPr>
              <w:pStyle w:val="20"/>
            </w:pPr>
            <w:r>
              <w:t>2.具体用于特困老人医药费</w:t>
            </w:r>
          </w:p>
          <w:p>
            <w:pPr>
              <w:pStyle w:val="20"/>
            </w:pPr>
            <w:r>
              <w:t>3.第二季度支付100000元，第三季度支付100000元，第四季度支付200000元。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享受该项政策老人人数</w:t>
            </w:r>
          </w:p>
        </w:tc>
        <w:tc>
          <w:tcPr>
            <w:tcW w:w="2891" w:type="dxa"/>
            <w:vAlign w:val="center"/>
          </w:tcPr>
          <w:p>
            <w:pPr>
              <w:pStyle w:val="20"/>
            </w:pPr>
            <w:r>
              <w:t>享受该项政策老人人数</w:t>
            </w:r>
          </w:p>
        </w:tc>
        <w:tc>
          <w:tcPr>
            <w:tcW w:w="1276" w:type="dxa"/>
            <w:vAlign w:val="center"/>
          </w:tcPr>
          <w:p>
            <w:pPr>
              <w:pStyle w:val="20"/>
            </w:pPr>
            <w:r>
              <w:t>≥140人</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患病老人救助率</w:t>
            </w:r>
          </w:p>
        </w:tc>
        <w:tc>
          <w:tcPr>
            <w:tcW w:w="2891" w:type="dxa"/>
            <w:vAlign w:val="center"/>
          </w:tcPr>
          <w:p>
            <w:pPr>
              <w:pStyle w:val="20"/>
            </w:pPr>
            <w:r>
              <w:t>患病老人救助率</w:t>
            </w:r>
          </w:p>
        </w:tc>
        <w:tc>
          <w:tcPr>
            <w:tcW w:w="1276" w:type="dxa"/>
            <w:vAlign w:val="center"/>
          </w:tcPr>
          <w:p>
            <w:pPr>
              <w:pStyle w:val="20"/>
            </w:pPr>
            <w:r>
              <w:t>≥98百分比</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资金支出及时率</w:t>
            </w:r>
          </w:p>
        </w:tc>
        <w:tc>
          <w:tcPr>
            <w:tcW w:w="2891" w:type="dxa"/>
            <w:vAlign w:val="center"/>
          </w:tcPr>
          <w:p>
            <w:pPr>
              <w:pStyle w:val="20"/>
            </w:pPr>
            <w:r>
              <w:t>资金支出及时率</w:t>
            </w:r>
          </w:p>
        </w:tc>
        <w:tc>
          <w:tcPr>
            <w:tcW w:w="1276" w:type="dxa"/>
            <w:vAlign w:val="center"/>
          </w:tcPr>
          <w:p>
            <w:pPr>
              <w:pStyle w:val="20"/>
            </w:pPr>
            <w:r>
              <w:t>≥90百分比</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≤40万元</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特困人员医疗得到保障</w:t>
            </w:r>
          </w:p>
        </w:tc>
        <w:tc>
          <w:tcPr>
            <w:tcW w:w="2891" w:type="dxa"/>
            <w:vAlign w:val="center"/>
          </w:tcPr>
          <w:p>
            <w:pPr>
              <w:pStyle w:val="20"/>
            </w:pPr>
            <w:r>
              <w:t>特困人员医疗是否得到保障</w:t>
            </w:r>
          </w:p>
        </w:tc>
        <w:tc>
          <w:tcPr>
            <w:tcW w:w="1276" w:type="dxa"/>
            <w:vAlign w:val="center"/>
          </w:tcPr>
          <w:p>
            <w:pPr>
              <w:pStyle w:val="20"/>
            </w:pPr>
            <w:r>
              <w:t>≥90百分比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服务对象满意度</w:t>
            </w:r>
          </w:p>
        </w:tc>
        <w:tc>
          <w:tcPr>
            <w:tcW w:w="2891" w:type="dxa"/>
            <w:vAlign w:val="center"/>
          </w:tcPr>
          <w:p>
            <w:pPr>
              <w:pStyle w:val="20"/>
            </w:pPr>
            <w:r>
              <w:t>服务对象满意度</w:t>
            </w:r>
          </w:p>
        </w:tc>
        <w:tc>
          <w:tcPr>
            <w:tcW w:w="1276" w:type="dxa"/>
            <w:vAlign w:val="center"/>
          </w:tcPr>
          <w:p>
            <w:pPr>
              <w:pStyle w:val="20"/>
            </w:pPr>
            <w:r>
              <w:t>≥90百分比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 w:name="_Toc_4_4_0000000026"/>
      <w:r>
        <w:rPr>
          <w:rFonts w:hint="eastAsia" w:ascii="方正仿宋_GBK" w:hAnsi="方正仿宋_GBK" w:eastAsia="方正仿宋_GBK" w:cs="方正仿宋_GBK"/>
          <w:color w:val="000000"/>
          <w:sz w:val="28"/>
          <w:lang w:val="en-US" w:eastAsia="zh-CN"/>
        </w:rPr>
        <w:t>2</w:t>
      </w:r>
      <w:r>
        <w:rPr>
          <w:rFonts w:ascii="方正仿宋_GBK" w:hAnsi="方正仿宋_GBK" w:eastAsia="方正仿宋_GBK" w:cs="方正仿宋_GBK"/>
          <w:color w:val="000000"/>
          <w:sz w:val="28"/>
        </w:rPr>
        <w:t>.福彩公益金用于徐水区儿童福利院维修改造工程绩效目标表</w:t>
      </w:r>
      <w:bookmarkEnd w:id="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13062522P00457910003K</w:t>
            </w:r>
          </w:p>
        </w:tc>
        <w:tc>
          <w:tcPr>
            <w:tcW w:w="1587" w:type="dxa"/>
            <w:vAlign w:val="center"/>
          </w:tcPr>
          <w:p>
            <w:pPr>
              <w:pStyle w:val="21"/>
            </w:pPr>
            <w:r>
              <w:t>项目名称</w:t>
            </w:r>
          </w:p>
        </w:tc>
        <w:tc>
          <w:tcPr>
            <w:tcW w:w="4422" w:type="dxa"/>
            <w:gridSpan w:val="3"/>
            <w:vAlign w:val="center"/>
          </w:tcPr>
          <w:p>
            <w:pPr>
              <w:pStyle w:val="20"/>
            </w:pPr>
            <w:r>
              <w:t>福彩公益金用于徐水区儿童福利院维修改造工程</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30.00</w:t>
            </w:r>
          </w:p>
        </w:tc>
        <w:tc>
          <w:tcPr>
            <w:tcW w:w="1587" w:type="dxa"/>
            <w:vAlign w:val="center"/>
          </w:tcPr>
          <w:p>
            <w:pPr>
              <w:pStyle w:val="21"/>
            </w:pPr>
            <w:r>
              <w:t>其中：财政    资金</w:t>
            </w:r>
          </w:p>
        </w:tc>
        <w:tc>
          <w:tcPr>
            <w:tcW w:w="1304" w:type="dxa"/>
            <w:vAlign w:val="center"/>
          </w:tcPr>
          <w:p>
            <w:pPr>
              <w:pStyle w:val="20"/>
            </w:pPr>
            <w:r>
              <w:t>30.00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徐水区儿童福利院设施老化，为保障儿童福利院日常运转，需对院内部分设施进行改造维修，内容包括：楼梯内无障碍扶手、室 内卫生间维修、院内漏水处维修及防水处理、室外路面重新铺设、电梯内做塑胶地板等。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100%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1.推进徐水区儿童福利院建设，保障儿童福利</w:t>
            </w:r>
          </w:p>
          <w:p>
            <w:pPr>
              <w:pStyle w:val="20"/>
            </w:pPr>
            <w:r>
              <w:t>2.具体用于儿童福利院维护改造。</w:t>
            </w:r>
          </w:p>
          <w:p>
            <w:pPr>
              <w:pStyle w:val="20"/>
            </w:pPr>
            <w:r>
              <w:t>3.预计十二月份全部支出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完成项目数量</w:t>
            </w:r>
          </w:p>
        </w:tc>
        <w:tc>
          <w:tcPr>
            <w:tcW w:w="2891" w:type="dxa"/>
            <w:vAlign w:val="center"/>
          </w:tcPr>
          <w:p>
            <w:pPr>
              <w:pStyle w:val="20"/>
            </w:pPr>
            <w:r>
              <w:t>完成项目数量</w:t>
            </w:r>
          </w:p>
        </w:tc>
        <w:tc>
          <w:tcPr>
            <w:tcW w:w="1276" w:type="dxa"/>
            <w:vAlign w:val="center"/>
          </w:tcPr>
          <w:p>
            <w:pPr>
              <w:pStyle w:val="20"/>
            </w:pPr>
            <w:r>
              <w:t>≥2个</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工程质量合格率</w:t>
            </w:r>
          </w:p>
        </w:tc>
        <w:tc>
          <w:tcPr>
            <w:tcW w:w="2891" w:type="dxa"/>
            <w:vAlign w:val="center"/>
          </w:tcPr>
          <w:p>
            <w:pPr>
              <w:pStyle w:val="20"/>
            </w:pPr>
            <w:r>
              <w:t>工程质量合格率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维修完工及时率</w:t>
            </w:r>
          </w:p>
        </w:tc>
        <w:tc>
          <w:tcPr>
            <w:tcW w:w="2891" w:type="dxa"/>
            <w:vAlign w:val="center"/>
          </w:tcPr>
          <w:p>
            <w:pPr>
              <w:pStyle w:val="20"/>
            </w:pPr>
            <w:r>
              <w:t>维修完工及时率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项目预算控制数</w:t>
            </w:r>
          </w:p>
        </w:tc>
        <w:tc>
          <w:tcPr>
            <w:tcW w:w="2891" w:type="dxa"/>
            <w:vAlign w:val="center"/>
          </w:tcPr>
          <w:p>
            <w:pPr>
              <w:pStyle w:val="20"/>
            </w:pPr>
            <w:r>
              <w:t>项目预算控制数</w:t>
            </w:r>
          </w:p>
        </w:tc>
        <w:tc>
          <w:tcPr>
            <w:tcW w:w="1276" w:type="dxa"/>
            <w:vAlign w:val="center"/>
          </w:tcPr>
          <w:p>
            <w:pPr>
              <w:pStyle w:val="20"/>
            </w:pPr>
            <w:r>
              <w:t>≤27.85万元</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提高设施服务</w:t>
            </w:r>
          </w:p>
        </w:tc>
        <w:tc>
          <w:tcPr>
            <w:tcW w:w="2891" w:type="dxa"/>
            <w:vAlign w:val="center"/>
          </w:tcPr>
          <w:p>
            <w:pPr>
              <w:pStyle w:val="20"/>
            </w:pPr>
            <w:r>
              <w:t>设施服务是否改善与提升</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入住人员满意度</w:t>
            </w:r>
          </w:p>
        </w:tc>
        <w:tc>
          <w:tcPr>
            <w:tcW w:w="2891" w:type="dxa"/>
            <w:vAlign w:val="center"/>
          </w:tcPr>
          <w:p>
            <w:pPr>
              <w:pStyle w:val="20"/>
            </w:pPr>
            <w:r>
              <w:t>入住人员满意度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 w:name="_Toc_4_4_0000000027"/>
      <w:r>
        <w:rPr>
          <w:rFonts w:hint="eastAsia" w:ascii="方正仿宋_GBK" w:hAnsi="方正仿宋_GBK" w:eastAsia="方正仿宋_GBK" w:cs="方正仿宋_GBK"/>
          <w:color w:val="000000"/>
          <w:sz w:val="28"/>
          <w:lang w:val="en-US" w:eastAsia="zh-CN"/>
        </w:rPr>
        <w:t>3</w:t>
      </w:r>
      <w:r>
        <w:rPr>
          <w:rFonts w:ascii="方正仿宋_GBK" w:hAnsi="方正仿宋_GBK" w:eastAsia="方正仿宋_GBK" w:cs="方正仿宋_GBK"/>
          <w:color w:val="000000"/>
          <w:sz w:val="28"/>
        </w:rPr>
        <w:t>.敬老院退役士兵再就业人员专项经费绩效目标表</w:t>
      </w:r>
      <w:bookmarkEnd w:id="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13062522P00456610024N</w:t>
            </w:r>
          </w:p>
        </w:tc>
        <w:tc>
          <w:tcPr>
            <w:tcW w:w="1587" w:type="dxa"/>
            <w:vAlign w:val="center"/>
          </w:tcPr>
          <w:p>
            <w:pPr>
              <w:pStyle w:val="21"/>
            </w:pPr>
            <w:r>
              <w:t>项目名称</w:t>
            </w:r>
          </w:p>
        </w:tc>
        <w:tc>
          <w:tcPr>
            <w:tcW w:w="4422" w:type="dxa"/>
            <w:gridSpan w:val="3"/>
            <w:vAlign w:val="center"/>
          </w:tcPr>
          <w:p>
            <w:pPr>
              <w:pStyle w:val="20"/>
            </w:pPr>
            <w:r>
              <w:t>敬老院退役士兵再就业人员专项经费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100.92</w:t>
            </w:r>
          </w:p>
        </w:tc>
        <w:tc>
          <w:tcPr>
            <w:tcW w:w="1587" w:type="dxa"/>
            <w:vAlign w:val="center"/>
          </w:tcPr>
          <w:p>
            <w:pPr>
              <w:pStyle w:val="21"/>
            </w:pPr>
            <w:r>
              <w:t>其中：财政    资金</w:t>
            </w:r>
          </w:p>
        </w:tc>
        <w:tc>
          <w:tcPr>
            <w:tcW w:w="1304" w:type="dxa"/>
            <w:vAlign w:val="center"/>
          </w:tcPr>
          <w:p>
            <w:pPr>
              <w:pStyle w:val="20"/>
            </w:pPr>
            <w:r>
              <w:t>100.92</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用于发放自谋职业转业士官的工资、保险及福利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22%</w:t>
            </w:r>
          </w:p>
        </w:tc>
        <w:tc>
          <w:tcPr>
            <w:tcW w:w="1587" w:type="dxa"/>
            <w:vAlign w:val="center"/>
          </w:tcPr>
          <w:p>
            <w:pPr>
              <w:pStyle w:val="22"/>
            </w:pPr>
            <w:r>
              <w:t>47%</w:t>
            </w:r>
          </w:p>
        </w:tc>
        <w:tc>
          <w:tcPr>
            <w:tcW w:w="1304" w:type="dxa"/>
            <w:vAlign w:val="center"/>
          </w:tcPr>
          <w:p>
            <w:pPr>
              <w:pStyle w:val="22"/>
            </w:pPr>
            <w:r>
              <w:t>71%</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1.保障敬老院退役士兵再就业。</w:t>
            </w:r>
          </w:p>
          <w:p>
            <w:pPr>
              <w:pStyle w:val="20"/>
            </w:pPr>
            <w:r>
              <w:t>2.具体用于退役士兵的再就业</w:t>
            </w:r>
          </w:p>
          <w:p>
            <w:pPr>
              <w:pStyle w:val="20"/>
            </w:pPr>
            <w:r>
              <w:t>3.第一季度支付179411.7元，第二季度支付247018.18元，第三季度支付247018.18元第四季度支付450736.05元。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退役士兵再就业保障人数</w:t>
            </w:r>
          </w:p>
        </w:tc>
        <w:tc>
          <w:tcPr>
            <w:tcW w:w="2891" w:type="dxa"/>
            <w:vAlign w:val="center"/>
          </w:tcPr>
          <w:p>
            <w:pPr>
              <w:pStyle w:val="20"/>
            </w:pPr>
            <w:r>
              <w:t>退役士兵在就业保障人数</w:t>
            </w:r>
          </w:p>
        </w:tc>
        <w:tc>
          <w:tcPr>
            <w:tcW w:w="1276" w:type="dxa"/>
            <w:vAlign w:val="center"/>
          </w:tcPr>
          <w:p>
            <w:pPr>
              <w:pStyle w:val="20"/>
            </w:pPr>
            <w:r>
              <w:t>11人</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资金支出及时性</w:t>
            </w:r>
          </w:p>
        </w:tc>
        <w:tc>
          <w:tcPr>
            <w:tcW w:w="2891" w:type="dxa"/>
            <w:vAlign w:val="center"/>
          </w:tcPr>
          <w:p>
            <w:pPr>
              <w:pStyle w:val="20"/>
            </w:pPr>
            <w:r>
              <w:t>资金支出及时性</w:t>
            </w:r>
          </w:p>
        </w:tc>
        <w:tc>
          <w:tcPr>
            <w:tcW w:w="1276" w:type="dxa"/>
            <w:vAlign w:val="center"/>
          </w:tcPr>
          <w:p>
            <w:pPr>
              <w:pStyle w:val="20"/>
            </w:pPr>
            <w:r>
              <w:t>≥90百分比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实际发放资金占应发放资金的比率</w:t>
            </w:r>
          </w:p>
        </w:tc>
        <w:tc>
          <w:tcPr>
            <w:tcW w:w="1276" w:type="dxa"/>
            <w:vAlign w:val="center"/>
          </w:tcPr>
          <w:p>
            <w:pPr>
              <w:pStyle w:val="20"/>
            </w:pPr>
            <w:r>
              <w:t>≥98百分比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≤112.5万元</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解决退役士兵的工作安置问题</w:t>
            </w:r>
          </w:p>
        </w:tc>
        <w:tc>
          <w:tcPr>
            <w:tcW w:w="2891" w:type="dxa"/>
            <w:vAlign w:val="center"/>
          </w:tcPr>
          <w:p>
            <w:pPr>
              <w:pStyle w:val="20"/>
            </w:pPr>
            <w:r>
              <w:t>解决退役士兵的工作安置问题</w:t>
            </w:r>
          </w:p>
        </w:tc>
        <w:tc>
          <w:tcPr>
            <w:tcW w:w="1276" w:type="dxa"/>
            <w:vAlign w:val="center"/>
          </w:tcPr>
          <w:p>
            <w:pPr>
              <w:pStyle w:val="20"/>
            </w:pPr>
            <w:r>
              <w:t>≥90百分比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6" w:name="_Toc_4_4_0000000028"/>
      <w:r>
        <w:rPr>
          <w:rFonts w:hint="eastAsia" w:ascii="方正仿宋_GBK" w:hAnsi="方正仿宋_GBK" w:eastAsia="方正仿宋_GBK" w:cs="方正仿宋_GBK"/>
          <w:color w:val="000000"/>
          <w:sz w:val="28"/>
          <w:lang w:val="en-US" w:eastAsia="zh-CN"/>
        </w:rPr>
        <w:t>4</w:t>
      </w:r>
      <w:r>
        <w:rPr>
          <w:rFonts w:ascii="方正仿宋_GBK" w:hAnsi="方正仿宋_GBK" w:eastAsia="方正仿宋_GBK" w:cs="方正仿宋_GBK"/>
          <w:color w:val="000000"/>
          <w:sz w:val="28"/>
        </w:rPr>
        <w:t>.敬老院综合责任险绩效目标表</w:t>
      </w:r>
      <w:bookmarkEnd w:id="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13062522P004566100233</w:t>
            </w:r>
          </w:p>
        </w:tc>
        <w:tc>
          <w:tcPr>
            <w:tcW w:w="1587" w:type="dxa"/>
            <w:vAlign w:val="center"/>
          </w:tcPr>
          <w:p>
            <w:pPr>
              <w:pStyle w:val="21"/>
            </w:pPr>
            <w:r>
              <w:t>项目名称</w:t>
            </w:r>
          </w:p>
        </w:tc>
        <w:tc>
          <w:tcPr>
            <w:tcW w:w="4422" w:type="dxa"/>
            <w:gridSpan w:val="3"/>
            <w:vAlign w:val="center"/>
          </w:tcPr>
          <w:p>
            <w:pPr>
              <w:pStyle w:val="20"/>
            </w:pPr>
            <w:r>
              <w:t>敬老院综合责任险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0.40</w:t>
            </w:r>
          </w:p>
        </w:tc>
        <w:tc>
          <w:tcPr>
            <w:tcW w:w="1587" w:type="dxa"/>
            <w:vAlign w:val="center"/>
          </w:tcPr>
          <w:p>
            <w:pPr>
              <w:pStyle w:val="21"/>
            </w:pPr>
            <w:r>
              <w:t>其中：财政    资金</w:t>
            </w:r>
          </w:p>
        </w:tc>
        <w:tc>
          <w:tcPr>
            <w:tcW w:w="1304" w:type="dxa"/>
            <w:vAlign w:val="center"/>
          </w:tcPr>
          <w:p>
            <w:pPr>
              <w:pStyle w:val="20"/>
            </w:pPr>
            <w:r>
              <w:t>0.40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用于为院内入住人员购买综合责任险。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 xml:space="preserve"> </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1.给予受保障人员保险支持。</w:t>
            </w:r>
          </w:p>
          <w:p>
            <w:pPr>
              <w:pStyle w:val="20"/>
            </w:pPr>
            <w:r>
              <w:t>2.具体用于敬老院综合责任险</w:t>
            </w:r>
          </w:p>
          <w:p>
            <w:pPr>
              <w:pStyle w:val="20"/>
            </w:pPr>
            <w:r>
              <w:t>3.12月份进行一次性支付。</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综合责任险保障人员数量</w:t>
            </w:r>
          </w:p>
        </w:tc>
        <w:tc>
          <w:tcPr>
            <w:tcW w:w="2891" w:type="dxa"/>
            <w:vAlign w:val="center"/>
          </w:tcPr>
          <w:p>
            <w:pPr>
              <w:pStyle w:val="20"/>
            </w:pPr>
            <w:r>
              <w:t>保险保障人员数量</w:t>
            </w:r>
          </w:p>
        </w:tc>
        <w:tc>
          <w:tcPr>
            <w:tcW w:w="1276" w:type="dxa"/>
            <w:vAlign w:val="center"/>
          </w:tcPr>
          <w:p>
            <w:pPr>
              <w:pStyle w:val="20"/>
            </w:pPr>
            <w:r>
              <w:t>≤200人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敬老院投保率</w:t>
            </w:r>
          </w:p>
        </w:tc>
        <w:tc>
          <w:tcPr>
            <w:tcW w:w="2891" w:type="dxa"/>
            <w:vAlign w:val="center"/>
          </w:tcPr>
          <w:p>
            <w:pPr>
              <w:pStyle w:val="20"/>
            </w:pPr>
            <w:r>
              <w:t>投保率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敬老院综合责任险支付及时率</w:t>
            </w:r>
          </w:p>
        </w:tc>
        <w:tc>
          <w:tcPr>
            <w:tcW w:w="2891" w:type="dxa"/>
            <w:vAlign w:val="center"/>
          </w:tcPr>
          <w:p>
            <w:pPr>
              <w:pStyle w:val="20"/>
            </w:pPr>
            <w:r>
              <w:t>综合责任险支付及时率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保费标准</w:t>
            </w:r>
          </w:p>
        </w:tc>
        <w:tc>
          <w:tcPr>
            <w:tcW w:w="2891" w:type="dxa"/>
            <w:vAlign w:val="center"/>
          </w:tcPr>
          <w:p>
            <w:pPr>
              <w:pStyle w:val="20"/>
            </w:pPr>
            <w:r>
              <w:t>保费标准</w:t>
            </w:r>
          </w:p>
        </w:tc>
        <w:tc>
          <w:tcPr>
            <w:tcW w:w="1276" w:type="dxa"/>
            <w:vAlign w:val="center"/>
          </w:tcPr>
          <w:p>
            <w:pPr>
              <w:pStyle w:val="20"/>
            </w:pPr>
            <w:r>
              <w:t>100元/人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可持续影响指标</w:t>
            </w:r>
          </w:p>
        </w:tc>
        <w:tc>
          <w:tcPr>
            <w:tcW w:w="1332" w:type="dxa"/>
            <w:vAlign w:val="center"/>
          </w:tcPr>
          <w:p>
            <w:pPr>
              <w:pStyle w:val="20"/>
            </w:pPr>
            <w:r>
              <w:t>提高社会救助能力</w:t>
            </w:r>
          </w:p>
        </w:tc>
        <w:tc>
          <w:tcPr>
            <w:tcW w:w="2891" w:type="dxa"/>
            <w:vAlign w:val="center"/>
          </w:tcPr>
          <w:p>
            <w:pPr>
              <w:pStyle w:val="20"/>
            </w:pPr>
            <w:r>
              <w:t>是否提高社会救助能力</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7" w:name="_Toc_4_4_0000000029"/>
      <w:r>
        <w:rPr>
          <w:rFonts w:hint="eastAsia" w:ascii="方正仿宋_GBK" w:hAnsi="方正仿宋_GBK" w:eastAsia="方正仿宋_GBK" w:cs="方正仿宋_GBK"/>
          <w:color w:val="000000"/>
          <w:sz w:val="28"/>
          <w:lang w:val="en-US" w:eastAsia="zh-CN"/>
        </w:rPr>
        <w:t>5</w:t>
      </w:r>
      <w:r>
        <w:rPr>
          <w:rFonts w:ascii="方正仿宋_GBK" w:hAnsi="方正仿宋_GBK" w:eastAsia="方正仿宋_GBK" w:cs="方正仿宋_GBK"/>
          <w:color w:val="000000"/>
          <w:sz w:val="28"/>
        </w:rPr>
        <w:t>.退役军人公益岗人员工资绩效目标表</w:t>
      </w:r>
      <w:bookmarkEnd w:id="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13062522P00456610349C</w:t>
            </w:r>
          </w:p>
        </w:tc>
        <w:tc>
          <w:tcPr>
            <w:tcW w:w="1587" w:type="dxa"/>
            <w:vAlign w:val="center"/>
          </w:tcPr>
          <w:p>
            <w:pPr>
              <w:pStyle w:val="21"/>
            </w:pPr>
            <w:r>
              <w:t>项目名称</w:t>
            </w:r>
          </w:p>
        </w:tc>
        <w:tc>
          <w:tcPr>
            <w:tcW w:w="4422" w:type="dxa"/>
            <w:gridSpan w:val="3"/>
            <w:vAlign w:val="center"/>
          </w:tcPr>
          <w:p>
            <w:pPr>
              <w:pStyle w:val="20"/>
            </w:pPr>
            <w:r>
              <w:t>退役军人公益岗人员工资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26.76</w:t>
            </w:r>
          </w:p>
        </w:tc>
        <w:tc>
          <w:tcPr>
            <w:tcW w:w="1587" w:type="dxa"/>
            <w:vAlign w:val="center"/>
          </w:tcPr>
          <w:p>
            <w:pPr>
              <w:pStyle w:val="21"/>
            </w:pPr>
            <w:r>
              <w:t>其中：财政    资金</w:t>
            </w:r>
          </w:p>
        </w:tc>
        <w:tc>
          <w:tcPr>
            <w:tcW w:w="1304" w:type="dxa"/>
            <w:vAlign w:val="center"/>
          </w:tcPr>
          <w:p>
            <w:pPr>
              <w:pStyle w:val="20"/>
            </w:pPr>
            <w:r>
              <w:t>26.76</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用于敬老院公益岗人员工资发放。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1.确保全区稳定，保障退役军人专岗人员更好发挥作用。</w:t>
            </w:r>
          </w:p>
          <w:p>
            <w:pPr>
              <w:pStyle w:val="20"/>
            </w:pPr>
            <w:r>
              <w:t>2.按月支出，3月份支出25%，6月份支出50%，9月份支出75%，12月份支出100%。</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公益岗人数</w:t>
            </w:r>
          </w:p>
        </w:tc>
        <w:tc>
          <w:tcPr>
            <w:tcW w:w="2891" w:type="dxa"/>
            <w:vAlign w:val="center"/>
          </w:tcPr>
          <w:p>
            <w:pPr>
              <w:pStyle w:val="20"/>
            </w:pPr>
            <w:r>
              <w:t>公益岗人数</w:t>
            </w:r>
          </w:p>
        </w:tc>
        <w:tc>
          <w:tcPr>
            <w:tcW w:w="1276" w:type="dxa"/>
            <w:vAlign w:val="center"/>
          </w:tcPr>
          <w:p>
            <w:pPr>
              <w:pStyle w:val="20"/>
            </w:pPr>
            <w:r>
              <w:t>10人</w:t>
            </w:r>
          </w:p>
        </w:tc>
        <w:tc>
          <w:tcPr>
            <w:tcW w:w="1843" w:type="dxa"/>
            <w:vAlign w:val="center"/>
          </w:tcPr>
          <w:p>
            <w:pPr>
              <w:pStyle w:val="20"/>
            </w:pPr>
            <w:r>
              <w:t>2021年11月份人数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公益岗工资发放足额率</w:t>
            </w:r>
          </w:p>
        </w:tc>
        <w:tc>
          <w:tcPr>
            <w:tcW w:w="2891" w:type="dxa"/>
            <w:vAlign w:val="center"/>
          </w:tcPr>
          <w:p>
            <w:pPr>
              <w:pStyle w:val="20"/>
            </w:pPr>
            <w:r>
              <w:t>足额发放工资人数占全部人数比例</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资金及时发放率</w:t>
            </w:r>
          </w:p>
        </w:tc>
        <w:tc>
          <w:tcPr>
            <w:tcW w:w="2891" w:type="dxa"/>
            <w:vAlign w:val="center"/>
          </w:tcPr>
          <w:p>
            <w:pPr>
              <w:pStyle w:val="20"/>
            </w:pPr>
            <w:r>
              <w:t>该笔资金投入后是否能够按照规定时间发放到位</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项目支出金额</w:t>
            </w:r>
          </w:p>
        </w:tc>
        <w:tc>
          <w:tcPr>
            <w:tcW w:w="2891" w:type="dxa"/>
            <w:vAlign w:val="center"/>
          </w:tcPr>
          <w:p>
            <w:pPr>
              <w:pStyle w:val="20"/>
            </w:pPr>
            <w:r>
              <w:t>在预算金额内支付</w:t>
            </w:r>
          </w:p>
        </w:tc>
        <w:tc>
          <w:tcPr>
            <w:tcW w:w="1276" w:type="dxa"/>
            <w:vAlign w:val="center"/>
          </w:tcPr>
          <w:p>
            <w:pPr>
              <w:pStyle w:val="20"/>
            </w:pPr>
            <w:r>
              <w:t>≤26.76万元</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拥军优属保障率</w:t>
            </w:r>
          </w:p>
        </w:tc>
        <w:tc>
          <w:tcPr>
            <w:tcW w:w="2891" w:type="dxa"/>
            <w:vAlign w:val="center"/>
          </w:tcPr>
          <w:p>
            <w:pPr>
              <w:pStyle w:val="20"/>
            </w:pPr>
            <w:r>
              <w:t>未发生相关上访的比率</w:t>
            </w:r>
          </w:p>
        </w:tc>
        <w:tc>
          <w:tcPr>
            <w:tcW w:w="1276" w:type="dxa"/>
            <w:vAlign w:val="center"/>
          </w:tcPr>
          <w:p>
            <w:pPr>
              <w:pStyle w:val="20"/>
            </w:pPr>
            <w:r>
              <w:t>100%</w:t>
            </w:r>
          </w:p>
        </w:tc>
        <w:tc>
          <w:tcPr>
            <w:tcW w:w="1843" w:type="dxa"/>
            <w:vAlign w:val="center"/>
          </w:tcPr>
          <w:p>
            <w:pPr>
              <w:pStyle w:val="20"/>
            </w:pPr>
            <w:r>
              <w:t>计划标准</w:t>
            </w:r>
          </w:p>
        </w:tc>
      </w:tr>
    </w:tbl>
    <w:p/>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sz w:val="32"/>
          <w:szCs w:val="32"/>
        </w:rPr>
      </w:pPr>
      <w:r>
        <w:rPr>
          <w:rFonts w:ascii="仿宋" w:hAnsi="仿宋" w:eastAsia="仿宋"/>
          <w:sz w:val="32"/>
          <w:szCs w:val="32"/>
        </w:rPr>
        <w:t>2022年，我</w:t>
      </w:r>
      <w:r>
        <w:rPr>
          <w:rFonts w:hint="eastAsia" w:ascii="仿宋" w:hAnsi="仿宋" w:eastAsia="仿宋"/>
          <w:sz w:val="32"/>
          <w:szCs w:val="32"/>
          <w:lang w:val="en-US" w:eastAsia="zh-CN"/>
        </w:rPr>
        <w:t>单位</w:t>
      </w:r>
      <w:r>
        <w:rPr>
          <w:rFonts w:ascii="仿宋" w:hAnsi="仿宋" w:eastAsia="仿宋"/>
          <w:sz w:val="32"/>
          <w:szCs w:val="32"/>
        </w:rPr>
        <w:t>安排政府采购预算</w:t>
      </w:r>
      <w:r>
        <w:rPr>
          <w:rFonts w:hint="eastAsia" w:ascii="仿宋" w:hAnsi="仿宋" w:eastAsia="仿宋"/>
          <w:sz w:val="32"/>
          <w:szCs w:val="32"/>
          <w:lang w:val="en-US" w:eastAsia="zh-CN"/>
        </w:rPr>
        <w:t>0</w:t>
      </w:r>
      <w:r>
        <w:rPr>
          <w:rFonts w:ascii="仿宋" w:hAnsi="仿宋" w:eastAsia="仿宋"/>
          <w:sz w:val="32"/>
          <w:szCs w:val="32"/>
        </w:rPr>
        <w:t>万元，具体内容见下表：</w:t>
      </w:r>
    </w:p>
    <w:p/>
    <w:p/>
    <w:tbl>
      <w:tblPr>
        <w:tblStyle w:val="8"/>
        <w:tblW w:w="154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673"/>
        <w:gridCol w:w="709"/>
        <w:gridCol w:w="850"/>
        <w:gridCol w:w="851"/>
        <w:gridCol w:w="992"/>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widowControl/>
              <w:jc w:val="left"/>
              <w:rPr>
                <w:rFonts w:hint="eastAsia" w:ascii="方正小标宋_GBK" w:hAnsi="方正小标宋_GBK" w:eastAsia="方正小标宋_GBK" w:cs="方正小标宋_GBK"/>
                <w:kern w:val="0"/>
                <w:sz w:val="24"/>
                <w:szCs w:val="24"/>
                <w:lang w:eastAsia="zh-CN"/>
              </w:rPr>
            </w:pPr>
            <w:r>
              <w:rPr>
                <w:rFonts w:ascii="方正小标宋_GBK" w:hAnsi="方正小标宋_GBK" w:eastAsia="方正小标宋_GBK" w:cs="方正小标宋_GBK"/>
                <w:kern w:val="0"/>
                <w:sz w:val="24"/>
                <w:szCs w:val="24"/>
                <w:lang w:eastAsia="uk-UA"/>
              </w:rPr>
              <w:t>314</w:t>
            </w:r>
            <w:r>
              <w:rPr>
                <w:rFonts w:hint="eastAsia" w:ascii="方正小标宋_GBK" w:hAnsi="方正小标宋_GBK" w:eastAsia="方正小标宋_GBK" w:cs="方正小标宋_GBK"/>
                <w:kern w:val="0"/>
                <w:sz w:val="24"/>
                <w:szCs w:val="24"/>
                <w:lang w:val="en-US" w:eastAsia="zh-CN"/>
              </w:rPr>
              <w:t>006</w:t>
            </w:r>
            <w:r>
              <w:rPr>
                <w:rFonts w:ascii="方正小标宋_GBK" w:hAnsi="方正小标宋_GBK" w:eastAsia="方正小标宋_GBK" w:cs="方正小标宋_GBK"/>
                <w:kern w:val="0"/>
                <w:sz w:val="24"/>
                <w:szCs w:val="24"/>
                <w:lang w:eastAsia="uk-UA"/>
              </w:rPr>
              <w:t>保定市徐水区</w:t>
            </w:r>
            <w:r>
              <w:rPr>
                <w:rFonts w:hint="eastAsia" w:ascii="方正小标宋_GBK" w:hAnsi="方正小标宋_GBK" w:eastAsia="方正小标宋_GBK" w:cs="方正小标宋_GBK"/>
                <w:kern w:val="0"/>
                <w:sz w:val="24"/>
                <w:szCs w:val="24"/>
                <w:lang w:val="en-US" w:eastAsia="zh-CN"/>
              </w:rPr>
              <w:t>敬老院</w:t>
            </w:r>
          </w:p>
        </w:tc>
        <w:tc>
          <w:tcPr>
            <w:tcW w:w="8101" w:type="dxa"/>
            <w:gridSpan w:val="9"/>
            <w:tcBorders>
              <w:top w:val="single" w:color="FFFFFF" w:sz="6" w:space="0"/>
              <w:left w:val="single" w:color="FFFFFF" w:sz="6" w:space="0"/>
              <w:right w:val="single" w:color="FFFFFF" w:sz="6" w:space="0"/>
            </w:tcBorders>
            <w:vAlign w:val="center"/>
          </w:tcPr>
          <w:p>
            <w:pPr>
              <w:widowControl/>
              <w:jc w:val="right"/>
              <w:rPr>
                <w:rFonts w:ascii="方正书宋_GBK" w:hAnsi="方正书宋_GBK" w:eastAsia="方正书宋_GBK" w:cs="方正书宋_GBK"/>
                <w:kern w:val="0"/>
                <w:sz w:val="24"/>
                <w:szCs w:val="24"/>
                <w:lang w:eastAsia="uk-UA"/>
              </w:rPr>
            </w:pPr>
            <w:r>
              <w:rPr>
                <w:rFonts w:ascii="方正书宋_GBK" w:hAnsi="方正书宋_GBK" w:eastAsia="方正书宋_GBK" w:cs="方正书宋_GBK"/>
                <w:kern w:val="0"/>
                <w:sz w:val="24"/>
                <w:szCs w:val="24"/>
                <w:lang w:eastAsia="uk-U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政府采购项目来源</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采购物品名称</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政府采购目录序号</w:t>
            </w:r>
          </w:p>
        </w:tc>
        <w:tc>
          <w:tcPr>
            <w:tcW w:w="709"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计量  单位</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数量</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单价</w:t>
            </w:r>
          </w:p>
        </w:tc>
        <w:tc>
          <w:tcPr>
            <w:tcW w:w="6967" w:type="dxa"/>
            <w:gridSpan w:val="8"/>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政府采购金额（当年部门预算安排资金）</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项目名称</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预算    资金</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709"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合计</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一般公共预算拨款</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基金预算拨款</w:t>
            </w:r>
          </w:p>
        </w:tc>
        <w:tc>
          <w:tcPr>
            <w:tcW w:w="673"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国有资本经营预算拨款</w:t>
            </w:r>
          </w:p>
        </w:tc>
        <w:tc>
          <w:tcPr>
            <w:tcW w:w="709"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财政专户核拨</w:t>
            </w:r>
          </w:p>
        </w:tc>
        <w:tc>
          <w:tcPr>
            <w:tcW w:w="850"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单位    资金</w:t>
            </w:r>
          </w:p>
        </w:tc>
        <w:tc>
          <w:tcPr>
            <w:tcW w:w="85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财政拨    款结转</w:t>
            </w:r>
          </w:p>
        </w:tc>
        <w:tc>
          <w:tcPr>
            <w:tcW w:w="992"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非财政    拨款结    转结余</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  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c>
          <w:tcPr>
            <w:tcW w:w="964" w:type="dxa"/>
            <w:vAlign w:val="center"/>
          </w:tcPr>
          <w:p>
            <w:pPr>
              <w:widowControl/>
              <w:jc w:val="right"/>
              <w:rPr>
                <w:rFonts w:hint="eastAsia" w:ascii="方正书宋_GBK" w:hAnsi="方正书宋_GBK" w:eastAsia="方正书宋_GBK" w:cs="方正书宋_GBK"/>
                <w:b/>
                <w:kern w:val="0"/>
                <w:szCs w:val="24"/>
                <w:lang w:val="en-US" w:eastAsia="zh-CN"/>
              </w:rPr>
            </w:pP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保定市徐水区</w:t>
            </w:r>
            <w:r>
              <w:rPr>
                <w:rFonts w:hint="eastAsia" w:ascii="方正书宋_GBK" w:hAnsi="方正书宋_GBK" w:eastAsia="方正书宋_GBK" w:cs="方正书宋_GBK"/>
                <w:b/>
                <w:kern w:val="0"/>
                <w:szCs w:val="24"/>
                <w:lang w:val="en-US" w:eastAsia="zh-CN"/>
              </w:rPr>
              <w:t>敬老院</w:t>
            </w:r>
            <w:r>
              <w:rPr>
                <w:rFonts w:ascii="方正书宋_GBK" w:hAnsi="方正书宋_GBK" w:eastAsia="方正书宋_GBK" w:cs="方正书宋_GBK"/>
                <w:b/>
                <w:kern w:val="0"/>
                <w:szCs w:val="24"/>
                <w:lang w:eastAsia="uk-UA"/>
              </w:rPr>
              <w:t>小计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c>
          <w:tcPr>
            <w:tcW w:w="964" w:type="dxa"/>
            <w:vAlign w:val="center"/>
          </w:tcPr>
          <w:p>
            <w:pPr>
              <w:widowControl/>
              <w:jc w:val="right"/>
              <w:rPr>
                <w:rFonts w:hint="eastAsia" w:ascii="方正书宋_GBK" w:hAnsi="方正书宋_GBK" w:eastAsia="方正书宋_GBK" w:cs="方正书宋_GBK"/>
                <w:b/>
                <w:kern w:val="0"/>
                <w:szCs w:val="24"/>
                <w:lang w:eastAsia="zh-CN"/>
              </w:rPr>
            </w:pP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r>
    </w:tbl>
    <w:p>
      <w:pPr>
        <w:widowControl/>
        <w:spacing w:line="500" w:lineRule="exact"/>
        <w:ind w:firstLine="420"/>
        <w:jc w:val="left"/>
        <w:rPr>
          <w:rFonts w:eastAsia="Times New Roman" w:cs="Times New Roman"/>
          <w:kern w:val="0"/>
          <w:sz w:val="24"/>
          <w:szCs w:val="24"/>
          <w:lang w:val="uk-UA" w:eastAsia="uk-UA"/>
        </w:rPr>
        <w:sectPr>
          <w:pgSz w:w="16840" w:h="11900" w:orient="landscape"/>
          <w:pgMar w:top="1020" w:right="1361" w:bottom="1020" w:left="1361" w:header="720" w:footer="720" w:gutter="0"/>
          <w:cols w:space="720" w:num="1"/>
        </w:sectPr>
      </w:pPr>
      <w:r>
        <w:rPr>
          <w:rFonts w:ascii="方正仿宋_GBK" w:hAnsi="方正仿宋_GBK" w:eastAsia="方正仿宋_GBK" w:cs="方正仿宋_GBK"/>
          <w:color w:val="000000"/>
          <w:kern w:val="0"/>
          <w:szCs w:val="24"/>
          <w:lang w:eastAsia="uk-UA"/>
        </w:rPr>
        <w:t>注：同一采购目录序号的物品，其单价会因配置规格不同而变动，均符合资产配置标准。涉密采购事项按照相关规定执行。</w:t>
      </w:r>
    </w:p>
    <w:p>
      <w:pPr>
        <w:spacing w:line="360" w:lineRule="auto"/>
        <w:rPr>
          <w:rFonts w:ascii="仿宋" w:hAnsi="仿宋" w:eastAsia="仿宋"/>
          <w:sz w:val="32"/>
          <w:szCs w:val="32"/>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第七部分：国有资产信息</w:t>
      </w:r>
    </w:p>
    <w:p>
      <w:pPr>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rPr>
        <w:t>上年末我</w:t>
      </w:r>
      <w:r>
        <w:rPr>
          <w:rFonts w:hint="eastAsia" w:ascii="仿宋" w:hAnsi="仿宋" w:eastAsia="仿宋"/>
          <w:sz w:val="32"/>
          <w:szCs w:val="32"/>
          <w:highlight w:val="none"/>
          <w:lang w:val="en-US" w:eastAsia="zh-CN"/>
        </w:rPr>
        <w:t>单位</w:t>
      </w:r>
      <w:r>
        <w:rPr>
          <w:rFonts w:hint="eastAsia" w:ascii="仿宋" w:hAnsi="仿宋" w:eastAsia="仿宋"/>
          <w:sz w:val="32"/>
          <w:szCs w:val="32"/>
          <w:highlight w:val="none"/>
        </w:rPr>
        <w:t>固定资产总金额为</w:t>
      </w:r>
      <w:r>
        <w:rPr>
          <w:rFonts w:hint="eastAsia" w:ascii="仿宋" w:hAnsi="仿宋" w:eastAsia="仿宋"/>
          <w:sz w:val="32"/>
          <w:szCs w:val="32"/>
          <w:highlight w:val="none"/>
          <w:lang w:val="en-US" w:eastAsia="zh-CN"/>
        </w:rPr>
        <w:t>65.7282</w:t>
      </w:r>
      <w:r>
        <w:rPr>
          <w:rFonts w:hint="eastAsia" w:ascii="仿宋" w:hAnsi="仿宋" w:eastAsia="仿宋"/>
          <w:sz w:val="32"/>
          <w:szCs w:val="32"/>
          <w:highlight w:val="none"/>
        </w:rPr>
        <w:t>万元（详见下表）。</w:t>
      </w:r>
      <w:r>
        <w:rPr>
          <w:rFonts w:ascii="仿宋" w:hAnsi="仿宋" w:eastAsia="仿宋"/>
          <w:sz w:val="32"/>
          <w:szCs w:val="32"/>
          <w:highlight w:val="none"/>
        </w:rPr>
        <w:t xml:space="preserve"> </w:t>
      </w:r>
    </w:p>
    <w:p>
      <w:pPr>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rPr>
        <w:t>我部门本年度无国有资产购置计划，拟购置金额为</w:t>
      </w:r>
      <w:r>
        <w:rPr>
          <w:rFonts w:ascii="仿宋" w:hAnsi="仿宋" w:eastAsia="仿宋"/>
          <w:sz w:val="32"/>
          <w:szCs w:val="32"/>
          <w:highlight w:val="none"/>
        </w:rPr>
        <w:t>0</w:t>
      </w:r>
      <w:r>
        <w:rPr>
          <w:rFonts w:hint="eastAsia" w:ascii="仿宋" w:hAnsi="仿宋" w:eastAsia="仿宋"/>
          <w:sz w:val="32"/>
          <w:szCs w:val="32"/>
          <w:highlight w:val="none"/>
        </w:rPr>
        <w:t>万元</w:t>
      </w:r>
      <w:r>
        <w:rPr>
          <w:rFonts w:ascii="仿宋" w:hAnsi="仿宋" w:eastAsia="仿宋"/>
          <w:sz w:val="32"/>
          <w:szCs w:val="32"/>
          <w:highlight w:val="none"/>
        </w:rPr>
        <w:t>。</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highlight w:val="none"/>
              </w:rPr>
            </w:pPr>
            <w:r>
              <w:rPr>
                <w:rFonts w:hint="eastAsia" w:ascii="宋体" w:hAnsi="宋体"/>
                <w:sz w:val="32"/>
                <w:szCs w:val="32"/>
                <w:highlight w:val="none"/>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highlight w:val="none"/>
              </w:rPr>
            </w:pP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Cs/>
                <w:kern w:val="0"/>
                <w:sz w:val="28"/>
                <w:szCs w:val="28"/>
                <w:highlight w:val="none"/>
              </w:rPr>
              <w:t>截止时间：</w:t>
            </w:r>
            <w:r>
              <w:rPr>
                <w:rFonts w:ascii="仿宋_GB2312" w:hAnsi="仿宋" w:eastAsia="仿宋_GB2312" w:cs="宋体"/>
                <w:bCs/>
                <w:color w:val="FF0000"/>
                <w:kern w:val="0"/>
                <w:sz w:val="28"/>
                <w:szCs w:val="28"/>
                <w:highlight w:val="none"/>
              </w:rPr>
              <w:t>2021</w:t>
            </w:r>
            <w:r>
              <w:rPr>
                <w:rFonts w:hint="eastAsia" w:ascii="仿宋_GB2312" w:hAnsi="仿宋" w:eastAsia="仿宋_GB2312" w:cs="宋体"/>
                <w:bCs/>
                <w:color w:val="FF0000"/>
                <w:kern w:val="0"/>
                <w:sz w:val="28"/>
                <w:szCs w:val="28"/>
                <w:highlight w:val="none"/>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highlight w:val="none"/>
              </w:rPr>
            </w:pPr>
            <w:r>
              <w:rPr>
                <w:rFonts w:hint="eastAsia" w:ascii="仿宋_GB2312" w:hAnsi="仿宋" w:eastAsia="仿宋_GB2312" w:cs="宋体"/>
                <w:b/>
                <w:kern w:val="0"/>
                <w:sz w:val="24"/>
                <w:szCs w:val="24"/>
                <w:highlight w:val="none"/>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highlight w:val="none"/>
              </w:rPr>
            </w:pPr>
            <w:r>
              <w:rPr>
                <w:rFonts w:hint="eastAsia" w:ascii="仿宋_GB2312" w:hAnsi="仿宋" w:eastAsia="仿宋_GB2312" w:cs="宋体"/>
                <w:kern w:val="0"/>
                <w:sz w:val="24"/>
                <w:szCs w:val="24"/>
                <w:highlight w:val="none"/>
                <w:lang w:val="en-US" w:eastAsia="zh-CN"/>
              </w:rPr>
              <w:t>65.7282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仿宋_GB2312" w:hAnsi="仿宋" w:eastAsia="仿宋_GB2312" w:cs="宋体"/>
                <w:kern w:val="0"/>
                <w:sz w:val="24"/>
                <w:szCs w:val="24"/>
                <w:highlight w:val="none"/>
                <w:lang w:val="en-US"/>
              </w:rPr>
            </w:pPr>
            <w:r>
              <w:rPr>
                <w:rFonts w:hint="eastAsia" w:ascii="仿宋_GB2312" w:hAnsi="仿宋" w:eastAsia="仿宋_GB2312" w:cs="宋体"/>
                <w:kern w:val="0"/>
                <w:sz w:val="24"/>
                <w:szCs w:val="24"/>
                <w:highlight w:val="none"/>
                <w:lang w:val="en-US" w:eastAsia="zh-CN"/>
              </w:rPr>
              <w:t>5.783654</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ind w:firstLine="360" w:firstLineChars="150"/>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hint="default" w:ascii="仿宋_GB2312" w:hAnsi="仿宋" w:eastAsia="仿宋_GB2312" w:cs="宋体"/>
                <w:kern w:val="0"/>
                <w:sz w:val="24"/>
                <w:szCs w:val="24"/>
                <w:highlight w:val="none"/>
                <w:lang w:val="en-US" w:eastAsia="zh-CN"/>
              </w:rPr>
            </w:pPr>
            <w:r>
              <w:rPr>
                <w:rFonts w:hint="eastAsia" w:ascii="仿宋_GB2312" w:hAnsi="仿宋" w:eastAsia="仿宋_GB2312" w:cs="宋体"/>
                <w:kern w:val="0"/>
                <w:sz w:val="24"/>
                <w:szCs w:val="24"/>
                <w:highlight w:val="none"/>
                <w:lang w:val="en-US" w:eastAsia="zh-CN"/>
              </w:rPr>
              <w:t>59.944546</w:t>
            </w:r>
          </w:p>
        </w:tc>
      </w:tr>
    </w:tbl>
    <w:p>
      <w:pPr>
        <w:spacing w:line="360" w:lineRule="auto"/>
        <w:rPr>
          <w:rFonts w:ascii="黑体" w:hAnsi="黑体" w:eastAsia="黑体" w:cs="Times New Roman"/>
          <w:sz w:val="32"/>
          <w:szCs w:val="32"/>
          <w:highlight w:val="none"/>
        </w:rPr>
      </w:pPr>
    </w:p>
    <w:p>
      <w:pPr>
        <w:jc w:val="both"/>
        <w:outlineLvl w:val="0"/>
        <w:rPr>
          <w:rFonts w:ascii="方正小标宋_GBK" w:eastAsia="方正小标宋_GBK"/>
          <w:sz w:val="44"/>
          <w:highlight w:val="none"/>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第八部分：名词解释</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1、一般公共预算财政拨款收入：指区级财政当年拨付的资金。</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2、其他收入：指除上述“财政拨款收入”、“事业收入”等以外的收入。</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4、项目支出：指在基本支出之外为完成特定行政任务和事业发展目标所发生的支出。</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6、</w:t>
      </w:r>
      <w:r>
        <w:rPr>
          <w:rFonts w:hint="eastAsia" w:ascii="仿宋" w:hAnsi="仿宋" w:eastAsia="仿宋"/>
          <w:sz w:val="32"/>
          <w:szCs w:val="32"/>
          <w:highlight w:val="none"/>
          <w:lang w:val="en-US" w:eastAsia="zh-CN"/>
        </w:rPr>
        <w:t>单位</w:t>
      </w:r>
      <w:r>
        <w:rPr>
          <w:rFonts w:ascii="仿宋" w:hAnsi="仿宋" w:eastAsia="仿宋"/>
          <w:sz w:val="32"/>
          <w:szCs w:val="32"/>
          <w:highlight w:val="none"/>
        </w:rPr>
        <w:t>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ind w:firstLine="640" w:firstLineChars="200"/>
        <w:rPr>
          <w:rFonts w:ascii="仿宋" w:hAnsi="仿宋" w:eastAsia="仿宋"/>
          <w:sz w:val="32"/>
          <w:szCs w:val="32"/>
          <w:highlight w:val="none"/>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w:t>
      </w:r>
      <w:r>
        <w:rPr>
          <w:rFonts w:hint="eastAsia" w:ascii="仿宋" w:hAnsi="仿宋" w:eastAsia="仿宋"/>
          <w:sz w:val="32"/>
          <w:szCs w:val="32"/>
          <w:lang w:val="en-US" w:eastAsia="zh-CN"/>
        </w:rPr>
        <w:t>单位</w:t>
      </w:r>
      <w:r>
        <w:rPr>
          <w:rFonts w:hint="eastAsia" w:ascii="仿宋" w:hAnsi="仿宋" w:eastAsia="仿宋"/>
          <w:sz w:val="32"/>
          <w:szCs w:val="32"/>
        </w:rPr>
        <w:t>无其他需说明的事项。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42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95BA9"/>
    <w:multiLevelType w:val="multilevel"/>
    <w:tmpl w:val="3ED95BA9"/>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Y5OTEwYTEwMzllZTRkNjFiODc2ZjAxMDk3Nzc2YmYifQ=="/>
  </w:docVars>
  <w:rsids>
    <w:rsidRoot w:val="00055F1F"/>
    <w:rsid w:val="00013B8A"/>
    <w:rsid w:val="00044FBC"/>
    <w:rsid w:val="00055F1F"/>
    <w:rsid w:val="000577EF"/>
    <w:rsid w:val="00057F18"/>
    <w:rsid w:val="00061D41"/>
    <w:rsid w:val="000A445D"/>
    <w:rsid w:val="000C178B"/>
    <w:rsid w:val="000F75FA"/>
    <w:rsid w:val="001161FE"/>
    <w:rsid w:val="0011653E"/>
    <w:rsid w:val="00122B14"/>
    <w:rsid w:val="00126B69"/>
    <w:rsid w:val="00131DEC"/>
    <w:rsid w:val="00136AB3"/>
    <w:rsid w:val="001462BD"/>
    <w:rsid w:val="00152380"/>
    <w:rsid w:val="001638BE"/>
    <w:rsid w:val="00164810"/>
    <w:rsid w:val="00172C7A"/>
    <w:rsid w:val="00181777"/>
    <w:rsid w:val="001858B6"/>
    <w:rsid w:val="00192287"/>
    <w:rsid w:val="001B4688"/>
    <w:rsid w:val="001B6235"/>
    <w:rsid w:val="001C058B"/>
    <w:rsid w:val="001C3D48"/>
    <w:rsid w:val="001F4875"/>
    <w:rsid w:val="00212335"/>
    <w:rsid w:val="00236858"/>
    <w:rsid w:val="002918C6"/>
    <w:rsid w:val="00291EF3"/>
    <w:rsid w:val="00296524"/>
    <w:rsid w:val="002E01F6"/>
    <w:rsid w:val="002F1ACB"/>
    <w:rsid w:val="002F530F"/>
    <w:rsid w:val="00305E97"/>
    <w:rsid w:val="00310532"/>
    <w:rsid w:val="0032782B"/>
    <w:rsid w:val="00340B3D"/>
    <w:rsid w:val="0034253A"/>
    <w:rsid w:val="00364A09"/>
    <w:rsid w:val="003669CF"/>
    <w:rsid w:val="00367A30"/>
    <w:rsid w:val="003A06D2"/>
    <w:rsid w:val="003A4557"/>
    <w:rsid w:val="003A6366"/>
    <w:rsid w:val="003C2317"/>
    <w:rsid w:val="003C442E"/>
    <w:rsid w:val="003C54AA"/>
    <w:rsid w:val="003D1092"/>
    <w:rsid w:val="003D37CD"/>
    <w:rsid w:val="003E2245"/>
    <w:rsid w:val="003E5531"/>
    <w:rsid w:val="003E555C"/>
    <w:rsid w:val="003E6AF3"/>
    <w:rsid w:val="0040243C"/>
    <w:rsid w:val="0040396B"/>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5D71B6"/>
    <w:rsid w:val="0062788A"/>
    <w:rsid w:val="00641F8A"/>
    <w:rsid w:val="006455E2"/>
    <w:rsid w:val="0066383B"/>
    <w:rsid w:val="006A6FA2"/>
    <w:rsid w:val="006B5117"/>
    <w:rsid w:val="006C62DF"/>
    <w:rsid w:val="006F5104"/>
    <w:rsid w:val="006F6549"/>
    <w:rsid w:val="00735B02"/>
    <w:rsid w:val="00737FE8"/>
    <w:rsid w:val="007657C8"/>
    <w:rsid w:val="00767A77"/>
    <w:rsid w:val="00771E49"/>
    <w:rsid w:val="00782208"/>
    <w:rsid w:val="00791938"/>
    <w:rsid w:val="007A5999"/>
    <w:rsid w:val="007B721B"/>
    <w:rsid w:val="007C7FD7"/>
    <w:rsid w:val="007E3F33"/>
    <w:rsid w:val="007F3746"/>
    <w:rsid w:val="00833132"/>
    <w:rsid w:val="00845C67"/>
    <w:rsid w:val="0086454E"/>
    <w:rsid w:val="00866AD2"/>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021FF"/>
    <w:rsid w:val="00C177A5"/>
    <w:rsid w:val="00C34600"/>
    <w:rsid w:val="00C35FEE"/>
    <w:rsid w:val="00C50535"/>
    <w:rsid w:val="00C6153C"/>
    <w:rsid w:val="00C906EF"/>
    <w:rsid w:val="00CC7D74"/>
    <w:rsid w:val="00D02F97"/>
    <w:rsid w:val="00D15D53"/>
    <w:rsid w:val="00D45530"/>
    <w:rsid w:val="00D45A0E"/>
    <w:rsid w:val="00D45D23"/>
    <w:rsid w:val="00D723D1"/>
    <w:rsid w:val="00D80C60"/>
    <w:rsid w:val="00D8525F"/>
    <w:rsid w:val="00DA0C4D"/>
    <w:rsid w:val="00DA1654"/>
    <w:rsid w:val="00DA5DA7"/>
    <w:rsid w:val="00DC0EC2"/>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C3B3E"/>
    <w:rsid w:val="00ED17B8"/>
    <w:rsid w:val="00F000B1"/>
    <w:rsid w:val="00F012D3"/>
    <w:rsid w:val="00F044C3"/>
    <w:rsid w:val="00F10D04"/>
    <w:rsid w:val="00F169E3"/>
    <w:rsid w:val="00F35D4B"/>
    <w:rsid w:val="00F36B4F"/>
    <w:rsid w:val="00F3746B"/>
    <w:rsid w:val="00F572CB"/>
    <w:rsid w:val="00F621AF"/>
    <w:rsid w:val="00F8024E"/>
    <w:rsid w:val="00F82447"/>
    <w:rsid w:val="00F868E5"/>
    <w:rsid w:val="00FB2F32"/>
    <w:rsid w:val="00FB67C8"/>
    <w:rsid w:val="00FC3191"/>
    <w:rsid w:val="00FE0F1F"/>
    <w:rsid w:val="00FF61F3"/>
    <w:rsid w:val="02B20F25"/>
    <w:rsid w:val="08D83573"/>
    <w:rsid w:val="0A214432"/>
    <w:rsid w:val="0A900037"/>
    <w:rsid w:val="129324AF"/>
    <w:rsid w:val="166D25E4"/>
    <w:rsid w:val="16AA1B0A"/>
    <w:rsid w:val="176D3A46"/>
    <w:rsid w:val="1ED81460"/>
    <w:rsid w:val="205F6E99"/>
    <w:rsid w:val="24EB49D5"/>
    <w:rsid w:val="27733670"/>
    <w:rsid w:val="2A2572D3"/>
    <w:rsid w:val="2BF1102A"/>
    <w:rsid w:val="2D5232DC"/>
    <w:rsid w:val="32842C68"/>
    <w:rsid w:val="37A33944"/>
    <w:rsid w:val="3F036E69"/>
    <w:rsid w:val="43445919"/>
    <w:rsid w:val="436B6E4D"/>
    <w:rsid w:val="4E9843F7"/>
    <w:rsid w:val="58151BE4"/>
    <w:rsid w:val="65E97A49"/>
    <w:rsid w:val="6B4C1454"/>
    <w:rsid w:val="6EED5671"/>
    <w:rsid w:val="6F615F0D"/>
    <w:rsid w:val="7C7733B2"/>
    <w:rsid w:val="7D2C1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next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next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qFormat/>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页眉 Char"/>
    <w:basedOn w:val="10"/>
    <w:link w:val="4"/>
    <w:qFormat/>
    <w:uiPriority w:val="99"/>
    <w:rPr>
      <w:sz w:val="18"/>
      <w:szCs w:val="18"/>
    </w:rPr>
  </w:style>
  <w:style w:type="character" w:customStyle="1" w:styleId="12">
    <w:name w:val="页脚 Char"/>
    <w:basedOn w:val="10"/>
    <w:link w:val="3"/>
    <w:qFormat/>
    <w:uiPriority w:val="99"/>
    <w:rPr>
      <w:sz w:val="18"/>
      <w:szCs w:val="18"/>
    </w:rPr>
  </w:style>
  <w:style w:type="character" w:customStyle="1" w:styleId="13">
    <w:name w:val="批注框文本 Char"/>
    <w:basedOn w:val="10"/>
    <w:link w:val="2"/>
    <w:semiHidden/>
    <w:qFormat/>
    <w:uiPriority w:val="99"/>
    <w:rPr>
      <w:sz w:val="18"/>
      <w:szCs w:val="18"/>
    </w:rPr>
  </w:style>
  <w:style w:type="paragraph" w:styleId="14">
    <w:name w:val="List Paragraph"/>
    <w:basedOn w:val="1"/>
    <w:qFormat/>
    <w:uiPriority w:val="99"/>
    <w:pPr>
      <w:ind w:firstLine="420" w:firstLineChars="200"/>
    </w:pPr>
  </w:style>
  <w:style w:type="paragraph" w:customStyle="1" w:styleId="15">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6">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7">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5">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6">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D0A8E-6D7B-4AAC-B0E7-72925092E228}">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5124</Words>
  <Characters>5792</Characters>
  <Lines>149</Lines>
  <Paragraphs>42</Paragraphs>
  <TotalTime>1</TotalTime>
  <ScaleCrop>false</ScaleCrop>
  <LinksUpToDate>false</LinksUpToDate>
  <CharactersWithSpaces>5929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大丽</cp:lastModifiedBy>
  <cp:lastPrinted>2021-04-14T02:06:00Z</cp:lastPrinted>
  <dcterms:modified xsi:type="dcterms:W3CDTF">2022-07-01T07:20:50Z</dcterms:modified>
  <cp:revision>194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76EAFEA3433E47EF9BBEB116C4FC5C2C</vt:lpwstr>
  </property>
</Properties>
</file>