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513F3B">
        <w:rPr>
          <w:rFonts w:ascii="黑体" w:eastAsia="黑体" w:hAnsi="黑体" w:cs="Times New Roman" w:hint="eastAsia"/>
          <w:bCs/>
          <w:kern w:val="2"/>
          <w:sz w:val="48"/>
          <w:szCs w:val="48"/>
        </w:rPr>
        <w:t>工信局</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513F3B">
        <w:rPr>
          <w:rFonts w:asciiTheme="minorEastAsia" w:eastAsiaTheme="minorEastAsia" w:hAnsiTheme="minorEastAsia" w:cs="Times New Roman" w:hint="eastAsia"/>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b/>
              <w:bCs/>
              <w:sz w:val="24"/>
            </w:rPr>
          </w:pPr>
          <w:r w:rsidRPr="000223AD">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sidRPr="000223AD">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sz w:val="24"/>
              </w:rPr>
              <w:t>第一部分   摘  要</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2F5BF5">
              <w:rPr>
                <w:rFonts w:asciiTheme="majorEastAsia" w:eastAsiaTheme="majorEastAsia" w:hAnsiTheme="majorEastAsia" w:cstheme="majorEastAsia" w:hint="eastAsia"/>
                <w:b/>
                <w:bCs/>
                <w:sz w:val="24"/>
              </w:rPr>
              <w:t>第二部分   绩效评价报告</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_Toc4346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4</w:t>
            </w:r>
            <w:r>
              <w:rPr>
                <w:rFonts w:asciiTheme="majorEastAsia" w:eastAsiaTheme="majorEastAsia" w:hAnsiTheme="majorEastAsia" w:cstheme="majorEastAsia" w:hint="eastAsia"/>
                <w:b/>
                <w:bCs/>
                <w:sz w:val="24"/>
              </w:rPr>
              <w:fldChar w:fldCharType="end"/>
            </w:r>
          </w:hyperlink>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2F5BF5">
              <w:rPr>
                <w:rFonts w:asciiTheme="majorEastAsia" w:eastAsiaTheme="majorEastAsia" w:hAnsiTheme="majorEastAsia" w:cstheme="majorEastAsia" w:hint="eastAsia"/>
                <w:b/>
                <w:bCs/>
                <w:sz w:val="24"/>
              </w:rPr>
              <w:t>一、保定市徐水区</w:t>
            </w:r>
            <w:r w:rsidR="00513F3B">
              <w:rPr>
                <w:rFonts w:asciiTheme="majorEastAsia" w:eastAsiaTheme="majorEastAsia" w:hAnsiTheme="majorEastAsia" w:cstheme="majorEastAsia" w:hint="eastAsia"/>
                <w:b/>
                <w:bCs/>
                <w:sz w:val="24"/>
              </w:rPr>
              <w:t>工信局</w:t>
            </w:r>
            <w:r w:rsidR="002F5BF5">
              <w:rPr>
                <w:rFonts w:asciiTheme="majorEastAsia" w:eastAsiaTheme="majorEastAsia" w:hAnsiTheme="majorEastAsia" w:cstheme="majorEastAsia" w:hint="eastAsia"/>
                <w:b/>
                <w:bCs/>
                <w:sz w:val="24"/>
              </w:rPr>
              <w:t>基本情况</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_Toc427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5</w:t>
            </w:r>
            <w:r>
              <w:rPr>
                <w:rFonts w:asciiTheme="majorEastAsia" w:eastAsiaTheme="majorEastAsia" w:hAnsiTheme="majorEastAsia" w:cstheme="majorEastAsia" w:hint="eastAsia"/>
                <w:b/>
                <w:bCs/>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2F5BF5">
              <w:rPr>
                <w:rFonts w:asciiTheme="majorEastAsia" w:eastAsiaTheme="majorEastAsia" w:hAnsiTheme="majorEastAsia" w:cstheme="majorEastAsia" w:hint="eastAsia"/>
                <w:sz w:val="24"/>
              </w:rPr>
              <w:t>（一）部门职责和工作活动</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_Toc11473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5</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2F5BF5">
              <w:rPr>
                <w:rFonts w:asciiTheme="majorEastAsia" w:eastAsiaTheme="majorEastAsia" w:hAnsiTheme="majorEastAsia" w:cstheme="majorEastAsia" w:hint="eastAsia"/>
                <w:sz w:val="24"/>
              </w:rPr>
              <w:t>（二）部门年度发展规划总体目标和职责分类绩效目标</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_Toc7075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5</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2F5BF5">
              <w:rPr>
                <w:rFonts w:asciiTheme="majorEastAsia" w:eastAsiaTheme="majorEastAsia" w:hAnsiTheme="majorEastAsia" w:cstheme="majorEastAsia" w:hint="eastAsia"/>
                <w:sz w:val="24"/>
              </w:rPr>
              <w:t>（三）部门预算收入及决算收入</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_Toc1678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6</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2F5BF5">
              <w:rPr>
                <w:rFonts w:asciiTheme="majorEastAsia" w:eastAsiaTheme="majorEastAsia" w:hAnsiTheme="majorEastAsia" w:cstheme="majorEastAsia" w:hint="eastAsia"/>
                <w:sz w:val="24"/>
              </w:rPr>
              <w:t>（四）预算支出及决算支出</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_Toc18197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8</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2F5BF5">
              <w:rPr>
                <w:rFonts w:asciiTheme="majorEastAsia" w:eastAsiaTheme="majorEastAsia" w:hAnsiTheme="majorEastAsia" w:cstheme="majorEastAsia" w:hint="eastAsia"/>
                <w:sz w:val="24"/>
              </w:rPr>
              <w:t>（五）“三公”经费预算安排及支出情况</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_Toc19291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10</w:t>
            </w:r>
            <w:r>
              <w:rPr>
                <w:rFonts w:asciiTheme="majorEastAsia" w:eastAsiaTheme="majorEastAsia" w:hAnsiTheme="majorEastAsia" w:cstheme="majorEastAsia" w:hint="eastAsia"/>
                <w:sz w:val="24"/>
              </w:rPr>
              <w:fldChar w:fldCharType="end"/>
            </w:r>
          </w:hyperlink>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2F5BF5">
              <w:rPr>
                <w:rFonts w:asciiTheme="majorEastAsia" w:eastAsiaTheme="majorEastAsia" w:hAnsiTheme="majorEastAsia" w:cstheme="majorEastAsia" w:hint="eastAsia"/>
                <w:b/>
                <w:bCs/>
                <w:sz w:val="24"/>
              </w:rPr>
              <w:t>二、部门整体支出绩效评价指标体系设定情况</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_Toc20454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11</w:t>
            </w:r>
            <w:r>
              <w:rPr>
                <w:rFonts w:asciiTheme="majorEastAsia" w:eastAsiaTheme="majorEastAsia" w:hAnsiTheme="majorEastAsia" w:cstheme="majorEastAsia" w:hint="eastAsia"/>
                <w:b/>
                <w:bCs/>
                <w:sz w:val="24"/>
              </w:rPr>
              <w:fldChar w:fldCharType="end"/>
            </w:r>
          </w:hyperlink>
        </w:p>
        <w:p w:rsidR="00852C43" w:rsidRDefault="000223AD">
          <w:pPr>
            <w:pStyle w:val="20"/>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2F5BF5">
              <w:rPr>
                <w:rFonts w:asciiTheme="majorEastAsia" w:eastAsiaTheme="majorEastAsia" w:hAnsiTheme="majorEastAsia" w:cstheme="majorEastAsia" w:hint="eastAsia"/>
                <w:sz w:val="24"/>
              </w:rPr>
              <w:t>（一）投入</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_Toc9569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11</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2F5BF5">
              <w:rPr>
                <w:rFonts w:asciiTheme="majorEastAsia" w:eastAsiaTheme="majorEastAsia" w:hAnsiTheme="majorEastAsia" w:cstheme="majorEastAsia" w:hint="eastAsia"/>
                <w:sz w:val="24"/>
              </w:rPr>
              <w:t>（二）过程</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_Toc30221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12</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2F5BF5">
              <w:rPr>
                <w:rFonts w:asciiTheme="majorEastAsia" w:eastAsiaTheme="majorEastAsia" w:hAnsiTheme="majorEastAsia" w:cstheme="majorEastAsia" w:hint="eastAsia"/>
                <w:sz w:val="24"/>
              </w:rPr>
              <w:t>（三）产出</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_Toc24932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12</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2F5BF5">
              <w:rPr>
                <w:rFonts w:asciiTheme="majorEastAsia" w:eastAsiaTheme="majorEastAsia" w:hAnsiTheme="majorEastAsia" w:cstheme="majorEastAsia" w:hint="eastAsia"/>
                <w:sz w:val="24"/>
              </w:rPr>
              <w:t>（四）效果</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_Toc21821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13</w:t>
            </w:r>
            <w:r>
              <w:rPr>
                <w:rFonts w:asciiTheme="majorEastAsia" w:eastAsiaTheme="majorEastAsia" w:hAnsiTheme="majorEastAsia" w:cstheme="majorEastAsia" w:hint="eastAsia"/>
                <w:sz w:val="24"/>
              </w:rPr>
              <w:fldChar w:fldCharType="end"/>
            </w:r>
          </w:hyperlink>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2F5BF5">
              <w:rPr>
                <w:rFonts w:asciiTheme="majorEastAsia" w:eastAsiaTheme="majorEastAsia" w:hAnsiTheme="majorEastAsia" w:cstheme="majorEastAsia" w:hint="eastAsia"/>
                <w:b/>
                <w:bCs/>
                <w:sz w:val="24"/>
              </w:rPr>
              <w:t>三、综合绩效评价工作情况</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_Toc11842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13</w:t>
            </w:r>
            <w:r>
              <w:rPr>
                <w:rFonts w:asciiTheme="majorEastAsia" w:eastAsiaTheme="majorEastAsia" w:hAnsiTheme="majorEastAsia" w:cstheme="majorEastAsia" w:hint="eastAsia"/>
                <w:b/>
                <w:bCs/>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2F5BF5">
              <w:rPr>
                <w:rFonts w:asciiTheme="majorEastAsia" w:eastAsiaTheme="majorEastAsia" w:hAnsiTheme="majorEastAsia" w:cstheme="majorEastAsia" w:hint="eastAsia"/>
                <w:sz w:val="24"/>
              </w:rPr>
              <w:t>（一）绩效评价目的</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_Toc17138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13</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2F5BF5">
              <w:rPr>
                <w:rFonts w:asciiTheme="majorEastAsia" w:eastAsiaTheme="majorEastAsia" w:hAnsiTheme="majorEastAsia" w:cstheme="majorEastAsia" w:hint="eastAsia"/>
                <w:sz w:val="24"/>
              </w:rPr>
              <w:t>（二）绩效评价依据</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_Toc11607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14</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2F5BF5">
              <w:rPr>
                <w:rFonts w:asciiTheme="majorEastAsia" w:eastAsiaTheme="majorEastAsia" w:hAnsiTheme="majorEastAsia" w:cstheme="majorEastAsia" w:hint="eastAsia"/>
                <w:sz w:val="24"/>
              </w:rPr>
              <w:t>（三）绩效评价内容</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_Toc7609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14</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2F5BF5">
              <w:rPr>
                <w:rFonts w:asciiTheme="majorEastAsia" w:eastAsiaTheme="majorEastAsia" w:hAnsiTheme="majorEastAsia" w:cstheme="majorEastAsia" w:hint="eastAsia"/>
                <w:sz w:val="24"/>
              </w:rPr>
              <w:t>（四）绩效评价原则</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_Toc789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15</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2F5BF5">
              <w:rPr>
                <w:rFonts w:asciiTheme="majorEastAsia" w:eastAsiaTheme="majorEastAsia" w:hAnsiTheme="majorEastAsia" w:cstheme="majorEastAsia" w:hint="eastAsia"/>
                <w:sz w:val="24"/>
              </w:rPr>
              <w:t>（五）绩效评价方法</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_Toc8171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15</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2F5BF5">
              <w:rPr>
                <w:rFonts w:asciiTheme="majorEastAsia" w:eastAsiaTheme="majorEastAsia" w:hAnsiTheme="majorEastAsia" w:cstheme="majorEastAsia" w:hint="eastAsia"/>
                <w:sz w:val="24"/>
              </w:rPr>
              <w:t>（六）绩效评价工作过程</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_Toc20821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16</w:t>
            </w:r>
            <w:r>
              <w:rPr>
                <w:rFonts w:asciiTheme="majorEastAsia" w:eastAsiaTheme="majorEastAsia" w:hAnsiTheme="majorEastAsia" w:cstheme="majorEastAsia" w:hint="eastAsia"/>
                <w:sz w:val="24"/>
              </w:rPr>
              <w:fldChar w:fldCharType="end"/>
            </w:r>
          </w:hyperlink>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2F5BF5">
              <w:rPr>
                <w:rFonts w:asciiTheme="majorEastAsia" w:eastAsiaTheme="majorEastAsia" w:hAnsiTheme="majorEastAsia" w:cstheme="majorEastAsia" w:hint="eastAsia"/>
                <w:b/>
                <w:bCs/>
                <w:sz w:val="24"/>
              </w:rPr>
              <w:t>四、绩效评价评分情况</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_Toc6467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17</w:t>
            </w:r>
            <w:r>
              <w:rPr>
                <w:rFonts w:asciiTheme="majorEastAsia" w:eastAsiaTheme="majorEastAsia" w:hAnsiTheme="majorEastAsia" w:cstheme="majorEastAsia" w:hint="eastAsia"/>
                <w:b/>
                <w:bCs/>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2F5BF5">
              <w:rPr>
                <w:rFonts w:asciiTheme="majorEastAsia" w:eastAsiaTheme="majorEastAsia" w:hAnsiTheme="majorEastAsia" w:cstheme="majorEastAsia" w:hint="eastAsia"/>
                <w:sz w:val="24"/>
              </w:rPr>
              <w:t>（一）投入</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_Toc4390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17</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2F5BF5">
              <w:rPr>
                <w:rFonts w:asciiTheme="majorEastAsia" w:eastAsiaTheme="majorEastAsia" w:hAnsiTheme="majorEastAsia" w:cstheme="majorEastAsia" w:hint="eastAsia"/>
                <w:sz w:val="24"/>
              </w:rPr>
              <w:t>（二）过程</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_Toc19940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20</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2F5BF5">
              <w:rPr>
                <w:rFonts w:asciiTheme="majorEastAsia" w:eastAsiaTheme="majorEastAsia" w:hAnsiTheme="majorEastAsia" w:cstheme="majorEastAsia" w:hint="eastAsia"/>
                <w:sz w:val="24"/>
              </w:rPr>
              <w:t>（三）产出</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_Toc12330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27</w:t>
            </w:r>
            <w:r>
              <w:rPr>
                <w:rFonts w:asciiTheme="majorEastAsia" w:eastAsiaTheme="majorEastAsia" w:hAnsiTheme="majorEastAsia" w:cstheme="majorEastAsia" w:hint="eastAsia"/>
                <w:sz w:val="24"/>
              </w:rPr>
              <w:fldChar w:fldCharType="end"/>
            </w:r>
          </w:hyperlink>
        </w:p>
        <w:p w:rsidR="00852C43" w:rsidRDefault="000223AD">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2F5BF5">
              <w:rPr>
                <w:rFonts w:asciiTheme="majorEastAsia" w:eastAsiaTheme="majorEastAsia" w:hAnsiTheme="majorEastAsia" w:cstheme="majorEastAsia" w:hint="eastAsia"/>
                <w:sz w:val="24"/>
              </w:rPr>
              <w:t>（四）效果</w:t>
            </w:r>
            <w:r w:rsidR="002F5BF5">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_Toc28363 </w:instrText>
            </w:r>
            <w:r>
              <w:rPr>
                <w:rFonts w:asciiTheme="majorEastAsia" w:eastAsiaTheme="majorEastAsia" w:hAnsiTheme="majorEastAsia" w:cstheme="majorEastAsia" w:hint="eastAsia"/>
                <w:sz w:val="24"/>
              </w:rPr>
              <w:fldChar w:fldCharType="separate"/>
            </w:r>
            <w:r w:rsidR="001614DA">
              <w:rPr>
                <w:rFonts w:asciiTheme="majorEastAsia" w:eastAsiaTheme="majorEastAsia" w:hAnsiTheme="majorEastAsia" w:cstheme="majorEastAsia"/>
                <w:noProof/>
                <w:sz w:val="24"/>
              </w:rPr>
              <w:t>29</w:t>
            </w:r>
            <w:r>
              <w:rPr>
                <w:rFonts w:asciiTheme="majorEastAsia" w:eastAsiaTheme="majorEastAsia" w:hAnsiTheme="majorEastAsia" w:cstheme="majorEastAsia" w:hint="eastAsia"/>
                <w:sz w:val="24"/>
              </w:rPr>
              <w:fldChar w:fldCharType="end"/>
            </w:r>
          </w:hyperlink>
        </w:p>
        <w:p w:rsidR="00852C43" w:rsidRDefault="000223AD">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2F5BF5">
              <w:rPr>
                <w:rFonts w:asciiTheme="majorEastAsia" w:eastAsiaTheme="majorEastAsia" w:hAnsiTheme="majorEastAsia" w:cstheme="majorEastAsia" w:hint="eastAsia"/>
                <w:b/>
                <w:bCs/>
                <w:sz w:val="24"/>
              </w:rPr>
              <w:t>五、绩效评价发现的问题</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_Toc13757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31</w:t>
            </w:r>
            <w:r>
              <w:rPr>
                <w:rFonts w:asciiTheme="majorEastAsia" w:eastAsiaTheme="majorEastAsia" w:hAnsiTheme="majorEastAsia" w:cstheme="majorEastAsia" w:hint="eastAsia"/>
                <w:b/>
                <w:bCs/>
                <w:sz w:val="24"/>
              </w:rPr>
              <w:fldChar w:fldCharType="end"/>
            </w:r>
          </w:hyperlink>
        </w:p>
        <w:p w:rsidR="00852C43" w:rsidRDefault="000223AD">
          <w:pPr>
            <w:pStyle w:val="20"/>
            <w:tabs>
              <w:tab w:val="right" w:leader="dot" w:pos="8312"/>
            </w:tabs>
            <w:spacing w:line="312" w:lineRule="auto"/>
            <w:ind w:leftChars="0" w:left="0"/>
            <w:rPr>
              <w:b/>
              <w:bCs/>
            </w:rPr>
          </w:pPr>
          <w:hyperlink w:anchor="_Toc20723" w:history="1">
            <w:r w:rsidR="002F5BF5">
              <w:rPr>
                <w:rFonts w:asciiTheme="majorEastAsia" w:eastAsiaTheme="majorEastAsia" w:hAnsiTheme="majorEastAsia" w:cstheme="majorEastAsia" w:hint="eastAsia"/>
                <w:b/>
                <w:bCs/>
                <w:sz w:val="24"/>
              </w:rPr>
              <w:t>六、绩效评价意见及建议</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_Toc20723 </w:instrText>
            </w:r>
            <w:r>
              <w:rPr>
                <w:rFonts w:asciiTheme="majorEastAsia" w:eastAsiaTheme="majorEastAsia" w:hAnsiTheme="majorEastAsia" w:cstheme="majorEastAsia" w:hint="eastAsia"/>
                <w:b/>
                <w:bCs/>
                <w:sz w:val="24"/>
              </w:rPr>
              <w:fldChar w:fldCharType="separate"/>
            </w:r>
            <w:r w:rsidR="001614DA">
              <w:rPr>
                <w:rFonts w:asciiTheme="majorEastAsia" w:eastAsiaTheme="majorEastAsia" w:hAnsiTheme="majorEastAsia" w:cstheme="majorEastAsia"/>
                <w:b/>
                <w:bCs/>
                <w:noProof/>
                <w:sz w:val="24"/>
              </w:rPr>
              <w:t>31</w:t>
            </w:r>
            <w:r>
              <w:rPr>
                <w:rFonts w:asciiTheme="majorEastAsia" w:eastAsiaTheme="majorEastAsia" w:hAnsiTheme="majorEastAsia" w:cstheme="majorEastAsia" w:hint="eastAsia"/>
                <w:b/>
                <w:bCs/>
                <w:sz w:val="24"/>
              </w:rPr>
              <w:fldChar w:fldCharType="end"/>
            </w:r>
          </w:hyperlink>
        </w:p>
        <w:p w:rsidR="00852C43" w:rsidRDefault="000223AD">
          <w:pPr>
            <w:spacing w:line="312" w:lineRule="auto"/>
            <w:ind w:firstLineChars="200" w:firstLine="440"/>
            <w:jc w:val="both"/>
            <w:sectPr w:rsidR="00852C43">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sidR="00513F3B">
        <w:rPr>
          <w:rFonts w:ascii="仿宋_GB2312" w:eastAsia="仿宋_GB2312" w:cs="DengXian-Regular" w:hint="eastAsia"/>
          <w:sz w:val="32"/>
          <w:szCs w:val="32"/>
        </w:rPr>
        <w:t>工信局</w:t>
      </w:r>
      <w:r>
        <w:rPr>
          <w:rFonts w:ascii="仿宋_GB2312" w:eastAsia="仿宋_GB2312" w:cs="DengXian-Regular" w:hint="eastAsia"/>
          <w:sz w:val="32"/>
          <w:szCs w:val="32"/>
        </w:rPr>
        <w:t>为正科级行政单位，经费保障形式为财政拨款，下设</w:t>
      </w:r>
      <w:r w:rsidR="00513F3B">
        <w:rPr>
          <w:rFonts w:ascii="仿宋_GB2312" w:eastAsia="仿宋_GB2312" w:cs="DengXian-Regular" w:hint="eastAsia"/>
          <w:sz w:val="32"/>
          <w:szCs w:val="32"/>
        </w:rPr>
        <w:t>4</w:t>
      </w:r>
      <w:r>
        <w:rPr>
          <w:rFonts w:ascii="仿宋_GB2312" w:eastAsia="仿宋_GB2312" w:cs="DengXian-Regular" w:hint="eastAsia"/>
          <w:sz w:val="32"/>
          <w:szCs w:val="32"/>
        </w:rPr>
        <w:t>个股室，分别为</w:t>
      </w:r>
      <w:r w:rsidR="00513F3B">
        <w:rPr>
          <w:rFonts w:ascii="仿宋_GB2312" w:eastAsia="仿宋_GB2312" w:cs="DengXian-Regular" w:hint="eastAsia"/>
          <w:sz w:val="32"/>
          <w:szCs w:val="32"/>
        </w:rPr>
        <w:t>综合</w:t>
      </w:r>
      <w:r>
        <w:rPr>
          <w:rFonts w:ascii="仿宋_GB2312" w:eastAsia="仿宋_GB2312" w:cs="DengXian-Regular" w:hint="eastAsia"/>
          <w:sz w:val="32"/>
          <w:szCs w:val="32"/>
        </w:rPr>
        <w:t>股、</w:t>
      </w:r>
      <w:r w:rsidR="00513F3B">
        <w:rPr>
          <w:rFonts w:ascii="仿宋_GB2312" w:eastAsia="仿宋_GB2312" w:cs="DengXian-Regular" w:hint="eastAsia"/>
          <w:sz w:val="32"/>
          <w:szCs w:val="32"/>
        </w:rPr>
        <w:t>工业运行管理</w:t>
      </w:r>
      <w:r>
        <w:rPr>
          <w:rFonts w:ascii="仿宋_GB2312" w:eastAsia="仿宋_GB2312" w:cs="DengXian-Regular" w:hint="eastAsia"/>
          <w:sz w:val="32"/>
          <w:szCs w:val="32"/>
        </w:rPr>
        <w:t>、</w:t>
      </w:r>
      <w:r w:rsidR="00513F3B">
        <w:rPr>
          <w:rFonts w:ascii="仿宋_GB2312" w:eastAsia="仿宋_GB2312" w:cs="DengXian-Regular" w:hint="eastAsia"/>
          <w:sz w:val="32"/>
          <w:szCs w:val="32"/>
        </w:rPr>
        <w:t>工业发展规划</w:t>
      </w:r>
      <w:r>
        <w:rPr>
          <w:rFonts w:ascii="仿宋_GB2312" w:eastAsia="仿宋_GB2312" w:cs="DengXian-Regular" w:hint="eastAsia"/>
          <w:sz w:val="32"/>
          <w:szCs w:val="32"/>
        </w:rPr>
        <w:t>股、</w:t>
      </w:r>
      <w:r w:rsidR="00513F3B">
        <w:rPr>
          <w:rFonts w:ascii="仿宋_GB2312" w:eastAsia="仿宋_GB2312" w:cs="DengXian-Regular" w:hint="eastAsia"/>
          <w:sz w:val="32"/>
          <w:szCs w:val="32"/>
        </w:rPr>
        <w:t>科技</w:t>
      </w:r>
      <w:r>
        <w:rPr>
          <w:rFonts w:ascii="仿宋_GB2312" w:eastAsia="仿宋_GB2312" w:cs="DengXian-Regular" w:hint="eastAsia"/>
          <w:sz w:val="32"/>
          <w:szCs w:val="32"/>
        </w:rPr>
        <w:t>股，主要职责有</w:t>
      </w:r>
      <w:r w:rsidR="00513F3B">
        <w:rPr>
          <w:rFonts w:ascii="仿宋_GB2312" w:eastAsia="仿宋_GB2312" w:cs="DengXian-Regular" w:hint="eastAsia"/>
          <w:sz w:val="32"/>
          <w:szCs w:val="32"/>
        </w:rPr>
        <w:t>负责监测分析工业日常运行，分析全区工业运行态势和国内外工业形式；组织全区工业发展战略、规划；组织全区工业技术改造工作；提出全区工业固定资产投资规模和方向；组织申报国家、省、市相关新型工业化产业示范基地创建工作；</w:t>
      </w:r>
      <w:r w:rsidR="00376B15">
        <w:rPr>
          <w:rFonts w:ascii="仿宋_GB2312" w:eastAsia="仿宋_GB2312" w:cs="DengXian-Regular" w:hint="eastAsia"/>
          <w:sz w:val="32"/>
          <w:szCs w:val="32"/>
        </w:rPr>
        <w:t>研究全区新型工业化的战略问题；组织研究促进工业、中小企业、民营经济发展战略，提出政策建议；拟订科技创新政策措施，提出激励企业技术我不是人政策建议；统筹推进科普、软科学工作；拟订全区促进科技与金融结合政策措施并组织实施；组织申报科研项目、前期论证、组织实施、进度审查和鉴定验收工作；指导农村科技进步和农业科技园区工作，推动科技成果推广工作；拟订引进国外</w:t>
      </w:r>
      <w:r w:rsidR="00376B15">
        <w:rPr>
          <w:rFonts w:ascii="仿宋_GB2312" w:eastAsia="仿宋_GB2312" w:cs="DengXian-Regular" w:hint="eastAsia"/>
          <w:sz w:val="32"/>
          <w:szCs w:val="32"/>
        </w:rPr>
        <w:lastRenderedPageBreak/>
        <w:t>智力规划和政策并组织实施。</w:t>
      </w:r>
      <w:r>
        <w:rPr>
          <w:rFonts w:ascii="仿宋_GB2312" w:eastAsia="仿宋_GB2312" w:cs="DengXian-Regular" w:hint="eastAsia"/>
          <w:sz w:val="32"/>
          <w:szCs w:val="32"/>
        </w:rPr>
        <w:t>承担</w:t>
      </w:r>
      <w:r w:rsidR="00376B15">
        <w:rPr>
          <w:rFonts w:ascii="仿宋_GB2312" w:eastAsia="仿宋_GB2312" w:cs="DengXian-Regular" w:hint="eastAsia"/>
          <w:sz w:val="32"/>
          <w:szCs w:val="32"/>
        </w:rPr>
        <w:t>全区中小企业和民营经济发展的宏观指导、综合协调；会同有关部门拟订促进中小企业、民营经济发展规划和政策措施；支持中小企业创业创新，推进中小企业“专精特新”发展；承担原材料工业管理工作；承担装备工业行业管理工作；承担消费品工业行业管理工作；</w:t>
      </w:r>
      <w:r>
        <w:rPr>
          <w:rFonts w:ascii="仿宋_GB2312" w:eastAsia="仿宋_GB2312" w:cs="DengXian-Regular" w:hint="eastAsia"/>
          <w:sz w:val="32"/>
          <w:szCs w:val="32"/>
        </w:rPr>
        <w:t>负责</w:t>
      </w:r>
      <w:r w:rsidR="00376B15">
        <w:rPr>
          <w:rFonts w:ascii="仿宋_GB2312" w:eastAsia="仿宋_GB2312" w:cs="DengXian-Regular" w:hint="eastAsia"/>
          <w:sz w:val="32"/>
          <w:szCs w:val="32"/>
        </w:rPr>
        <w:t>推进全区军民融合深度发展；汽车工业资源的协作生产和合理布局；</w:t>
      </w:r>
      <w:r w:rsidR="004817CC">
        <w:rPr>
          <w:rFonts w:ascii="仿宋_GB2312" w:eastAsia="仿宋_GB2312" w:cs="DengXian-Regular" w:hint="eastAsia"/>
          <w:sz w:val="32"/>
          <w:szCs w:val="32"/>
        </w:rPr>
        <w:t>承担重点外国专家服务</w:t>
      </w:r>
      <w:r>
        <w:rPr>
          <w:rFonts w:ascii="仿宋_GB2312" w:eastAsia="仿宋_GB2312" w:cs="DengXian-Regular" w:hint="eastAsia"/>
          <w:sz w:val="32"/>
          <w:szCs w:val="32"/>
        </w:rPr>
        <w:t>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w:t>
      </w:r>
      <w:r>
        <w:rPr>
          <w:rFonts w:ascii="仿宋_GB2312" w:eastAsia="仿宋_GB2312" w:cs="DengXian-Regular" w:hint="eastAsia"/>
          <w:sz w:val="32"/>
          <w:szCs w:val="32"/>
        </w:rPr>
        <w:lastRenderedPageBreak/>
        <w:t>《全面实施预算绩效管理推进工作方案》、《保定市徐水区部门预算绩效运行监控工作规程》中的相关工作要求作为评价标准，采取定量和定性评价相结合的方法，对资料进行审核、分析，实事求是、客观公正地完成了</w:t>
      </w:r>
      <w:r w:rsidR="00EC75DE">
        <w:rPr>
          <w:rFonts w:ascii="仿宋_GB2312" w:eastAsia="仿宋_GB2312" w:cs="DengXian-Regular" w:hint="eastAsia"/>
          <w:sz w:val="32"/>
          <w:szCs w:val="32"/>
        </w:rPr>
        <w:t>我</w:t>
      </w:r>
      <w:r w:rsidR="00FE44CF">
        <w:rPr>
          <w:rFonts w:ascii="仿宋_GB2312" w:eastAsia="仿宋_GB2312" w:cs="DengXian-Regular" w:hint="eastAsia"/>
          <w:sz w:val="32"/>
          <w:szCs w:val="32"/>
        </w:rPr>
        <w:t>单位2019</w:t>
      </w:r>
      <w:r>
        <w:rPr>
          <w:rFonts w:ascii="仿宋_GB2312" w:eastAsia="仿宋_GB2312" w:cs="DengXian-Regular" w:hint="eastAsia"/>
          <w:sz w:val="32"/>
          <w:szCs w:val="32"/>
        </w:rPr>
        <w:t>年部门整体支出绩效评价工作。</w:t>
      </w:r>
    </w:p>
    <w:p w:rsidR="00852C43" w:rsidRDefault="00EC75D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年部门整体支出绩效评价指标体系共设置4个一级指标、7个二级指标、27个三级指标，从投入、过程、产出、效果四个方面对</w:t>
      </w:r>
      <w:r>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Default="00EC75D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年部门整体支出综合评价得分为</w:t>
      </w:r>
      <w:r w:rsidR="002261E1">
        <w:rPr>
          <w:rFonts w:ascii="仿宋_GB2312" w:eastAsia="仿宋_GB2312" w:cs="DengXian-Regular" w:hint="eastAsia"/>
          <w:sz w:val="32"/>
          <w:szCs w:val="32"/>
        </w:rPr>
        <w:t>92</w:t>
      </w:r>
      <w:r w:rsidR="002F5BF5">
        <w:rPr>
          <w:rFonts w:ascii="仿宋_GB2312" w:eastAsia="仿宋_GB2312" w:cs="DengXian-Regular" w:hint="eastAsia"/>
          <w:sz w:val="32"/>
          <w:szCs w:val="32"/>
        </w:rPr>
        <w:t>分，评价等级为“</w:t>
      </w:r>
      <w:r>
        <w:rPr>
          <w:rFonts w:ascii="仿宋_GB2312" w:eastAsia="仿宋_GB2312" w:cs="DengXian-Regular" w:hint="eastAsia"/>
          <w:sz w:val="32"/>
          <w:szCs w:val="32"/>
        </w:rPr>
        <w:t>优</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EC75DE">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EC75DE">
        <w:rPr>
          <w:rFonts w:ascii="仿宋_GB2312" w:eastAsia="仿宋_GB2312" w:cs="DengXian-Regular" w:hint="eastAsia"/>
          <w:sz w:val="32"/>
          <w:szCs w:val="32"/>
        </w:rPr>
        <w:t>年部门预算</w:t>
      </w:r>
      <w:r w:rsidR="00412678">
        <w:rPr>
          <w:rFonts w:ascii="仿宋_GB2312" w:eastAsia="仿宋_GB2312" w:cs="DengXian-Regular" w:hint="eastAsia"/>
          <w:sz w:val="32"/>
          <w:szCs w:val="32"/>
        </w:rPr>
        <w:t>绩效目标合理性</w:t>
      </w:r>
      <w:r w:rsidR="00EC75DE">
        <w:rPr>
          <w:rFonts w:ascii="仿宋_GB2312" w:eastAsia="仿宋_GB2312" w:cs="DengXian-Regular" w:hint="eastAsia"/>
          <w:sz w:val="32"/>
          <w:szCs w:val="32"/>
        </w:rPr>
        <w:t>、</w:t>
      </w:r>
      <w:r w:rsidR="00412678">
        <w:rPr>
          <w:rFonts w:ascii="仿宋_GB2312" w:eastAsia="仿宋_GB2312" w:cs="DengXian-Regular" w:hint="eastAsia"/>
          <w:sz w:val="32"/>
          <w:szCs w:val="32"/>
        </w:rPr>
        <w:t>绩效指标明确性</w:t>
      </w:r>
      <w:r>
        <w:rPr>
          <w:rFonts w:ascii="仿宋_GB2312" w:eastAsia="仿宋_GB2312" w:cs="DengXian-Regular" w:hint="eastAsia"/>
          <w:sz w:val="32"/>
          <w:szCs w:val="32"/>
        </w:rPr>
        <w:t>、</w:t>
      </w:r>
      <w:r w:rsidR="00412678">
        <w:rPr>
          <w:rFonts w:ascii="仿宋_GB2312" w:eastAsia="仿宋_GB2312" w:cs="DengXian-Regular" w:hint="eastAsia"/>
          <w:sz w:val="32"/>
          <w:szCs w:val="32"/>
        </w:rPr>
        <w:t>“三公经费”变动率</w:t>
      </w:r>
      <w:r>
        <w:rPr>
          <w:rFonts w:ascii="仿宋_GB2312" w:eastAsia="仿宋_GB2312" w:cs="DengXian-Regular" w:hint="eastAsia"/>
          <w:sz w:val="32"/>
          <w:szCs w:val="32"/>
        </w:rPr>
        <w:t>、</w:t>
      </w:r>
      <w:r w:rsidR="00412678">
        <w:rPr>
          <w:rFonts w:ascii="仿宋_GB2312" w:eastAsia="仿宋_GB2312" w:cs="DengXian-Regular" w:hint="eastAsia"/>
          <w:sz w:val="32"/>
          <w:szCs w:val="32"/>
        </w:rPr>
        <w:t>重点支出安排</w:t>
      </w:r>
      <w:r>
        <w:rPr>
          <w:rFonts w:ascii="仿宋_GB2312" w:eastAsia="仿宋_GB2312" w:cs="DengXian-Regular" w:hint="eastAsia"/>
          <w:sz w:val="32"/>
          <w:szCs w:val="32"/>
        </w:rPr>
        <w:t>率、</w:t>
      </w:r>
      <w:r w:rsidR="00412678">
        <w:rPr>
          <w:rFonts w:ascii="仿宋_GB2312" w:eastAsia="仿宋_GB2312" w:cs="DengXian-Regular" w:hint="eastAsia"/>
          <w:sz w:val="32"/>
          <w:szCs w:val="32"/>
        </w:rPr>
        <w:t>预算完成率、“公用经费”控制率、</w:t>
      </w:r>
      <w:r>
        <w:rPr>
          <w:rFonts w:ascii="仿宋_GB2312" w:eastAsia="仿宋_GB2312" w:cs="DengXian-Regular" w:hint="eastAsia"/>
          <w:sz w:val="32"/>
          <w:szCs w:val="32"/>
        </w:rPr>
        <w:t>“三公经费”控制率、</w:t>
      </w:r>
      <w:r w:rsidR="00412678">
        <w:rPr>
          <w:rFonts w:ascii="仿宋_GB2312" w:eastAsia="仿宋_GB2312" w:cs="DengXian-Regular" w:hint="eastAsia"/>
          <w:sz w:val="32"/>
          <w:szCs w:val="32"/>
        </w:rPr>
        <w:t>政府采购执行率、</w:t>
      </w:r>
      <w:r>
        <w:rPr>
          <w:rFonts w:ascii="仿宋_GB2312" w:eastAsia="仿宋_GB2312" w:cs="DengXian-Regular" w:hint="eastAsia"/>
          <w:sz w:val="32"/>
          <w:szCs w:val="32"/>
        </w:rPr>
        <w:t>资金使用合规性、决算真实性、管理制度健全性、预决算信息公开、资产管理规范性、</w:t>
      </w:r>
      <w:r w:rsidR="00412678">
        <w:rPr>
          <w:rFonts w:ascii="仿宋_GB2312" w:eastAsia="仿宋_GB2312" w:cs="DengXian-Regular" w:hint="eastAsia"/>
          <w:sz w:val="32"/>
          <w:szCs w:val="32"/>
        </w:rPr>
        <w:t>任务实际完成率、完成及时率、质量达标率、重点工作办结率</w:t>
      </w:r>
      <w:r>
        <w:rPr>
          <w:rFonts w:ascii="仿宋_GB2312" w:eastAsia="仿宋_GB2312" w:cs="DengXian-Regular" w:hint="eastAsia"/>
          <w:sz w:val="32"/>
          <w:szCs w:val="32"/>
        </w:rPr>
        <w:t>、部门整体效益等指标完成情况较好。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52C43" w:rsidRPr="002261E1" w:rsidRDefault="002F5BF5">
      <w:pPr>
        <w:spacing w:after="0" w:line="360" w:lineRule="auto"/>
        <w:ind w:firstLineChars="200" w:firstLine="640"/>
        <w:jc w:val="both"/>
        <w:textAlignment w:val="baseline"/>
        <w:rPr>
          <w:rFonts w:ascii="仿宋_GB2312" w:eastAsia="仿宋_GB2312" w:cs="DengXian-Regular"/>
          <w:sz w:val="32"/>
          <w:szCs w:val="32"/>
        </w:rPr>
      </w:pPr>
      <w:r w:rsidRPr="002261E1">
        <w:rPr>
          <w:rFonts w:ascii="仿宋_GB2312" w:eastAsia="仿宋_GB2312" w:cs="DengXian-Regular" w:hint="eastAsia"/>
          <w:sz w:val="32"/>
          <w:szCs w:val="32"/>
        </w:rPr>
        <w:lastRenderedPageBreak/>
        <w:t>1.绩效指标</w:t>
      </w:r>
      <w:r w:rsidR="00FE44CF" w:rsidRPr="002261E1">
        <w:rPr>
          <w:rFonts w:ascii="仿宋_GB2312" w:eastAsia="仿宋_GB2312" w:cs="DengXian-Regular" w:hint="eastAsia"/>
          <w:sz w:val="32"/>
          <w:szCs w:val="32"/>
        </w:rPr>
        <w:t>方面</w:t>
      </w:r>
      <w:r w:rsidR="002261E1" w:rsidRPr="002261E1">
        <w:rPr>
          <w:rFonts w:ascii="仿宋_GB2312" w:eastAsia="仿宋_GB2312" w:cs="DengXian-Regular" w:hint="eastAsia"/>
          <w:sz w:val="32"/>
          <w:szCs w:val="32"/>
        </w:rPr>
        <w:t>,</w:t>
      </w:r>
      <w:r w:rsidR="001136A4">
        <w:rPr>
          <w:rFonts w:ascii="仿宋_GB2312" w:eastAsia="仿宋_GB2312" w:cs="DengXian-Regular" w:hint="eastAsia"/>
          <w:sz w:val="32"/>
          <w:szCs w:val="32"/>
        </w:rPr>
        <w:t>年初绩效指标设定职责覆盖面不够广泛；绩效指标量化设定不够全面具体。</w:t>
      </w:r>
    </w:p>
    <w:p w:rsidR="00852C43" w:rsidRPr="0006350D" w:rsidRDefault="0006350D">
      <w:pPr>
        <w:spacing w:after="0" w:line="360" w:lineRule="auto"/>
        <w:ind w:firstLineChars="200" w:firstLine="640"/>
        <w:jc w:val="both"/>
        <w:textAlignment w:val="baseline"/>
        <w:rPr>
          <w:rFonts w:ascii="仿宋_GB2312" w:eastAsia="仿宋_GB2312" w:cs="DengXian-Regular"/>
          <w:sz w:val="32"/>
          <w:szCs w:val="32"/>
        </w:rPr>
      </w:pPr>
      <w:r w:rsidRPr="0006350D">
        <w:rPr>
          <w:rFonts w:ascii="仿宋_GB2312" w:eastAsia="仿宋_GB2312" w:cs="DengXian-Regular" w:hint="eastAsia"/>
          <w:sz w:val="32"/>
          <w:szCs w:val="32"/>
        </w:rPr>
        <w:t>2</w:t>
      </w:r>
      <w:r w:rsidR="002F5BF5" w:rsidRPr="0006350D">
        <w:rPr>
          <w:rFonts w:ascii="仿宋_GB2312" w:eastAsia="仿宋_GB2312" w:cs="DengXian-Regular" w:hint="eastAsia"/>
          <w:sz w:val="32"/>
          <w:szCs w:val="32"/>
        </w:rPr>
        <w:t>.政府采购</w:t>
      </w:r>
      <w:r w:rsidR="00FE44CF" w:rsidRPr="0006350D">
        <w:rPr>
          <w:rFonts w:ascii="仿宋_GB2312" w:eastAsia="仿宋_GB2312" w:cs="DengXian-Regular" w:hint="eastAsia"/>
          <w:sz w:val="32"/>
          <w:szCs w:val="32"/>
        </w:rPr>
        <w:t>方面</w:t>
      </w:r>
      <w:r>
        <w:rPr>
          <w:rFonts w:ascii="仿宋_GB2312" w:eastAsia="仿宋_GB2312" w:cs="DengXian-Regular" w:hint="eastAsia"/>
          <w:sz w:val="32"/>
          <w:szCs w:val="32"/>
        </w:rPr>
        <w:t>，采购预算编制口径不明确，没有涵盖小金额的货物和服务。</w:t>
      </w:r>
    </w:p>
    <w:p w:rsidR="00852C43" w:rsidRDefault="0006350D">
      <w:pPr>
        <w:spacing w:after="0" w:line="360" w:lineRule="auto"/>
        <w:ind w:firstLineChars="200" w:firstLine="640"/>
        <w:jc w:val="both"/>
        <w:textAlignment w:val="baseline"/>
        <w:rPr>
          <w:rFonts w:ascii="仿宋_GB2312" w:eastAsia="仿宋_GB2312" w:cs="DengXian-Regular"/>
          <w:sz w:val="32"/>
          <w:szCs w:val="32"/>
        </w:rPr>
      </w:pPr>
      <w:r w:rsidRPr="0006350D">
        <w:rPr>
          <w:rFonts w:ascii="仿宋_GB2312" w:eastAsia="仿宋_GB2312" w:cs="DengXian-Regular" w:hint="eastAsia"/>
          <w:sz w:val="32"/>
          <w:szCs w:val="32"/>
        </w:rPr>
        <w:t>3</w:t>
      </w:r>
      <w:r w:rsidR="002F5BF5" w:rsidRPr="0006350D">
        <w:rPr>
          <w:rFonts w:ascii="仿宋_GB2312" w:eastAsia="仿宋_GB2312" w:cs="DengXian-Regular" w:hint="eastAsia"/>
          <w:sz w:val="32"/>
          <w:szCs w:val="32"/>
        </w:rPr>
        <w:t>.项目资金使用率</w:t>
      </w:r>
      <w:r>
        <w:rPr>
          <w:rFonts w:ascii="仿宋_GB2312" w:eastAsia="仿宋_GB2312" w:cs="DengXian-Regular" w:hint="eastAsia"/>
          <w:sz w:val="32"/>
          <w:szCs w:val="32"/>
        </w:rPr>
        <w:t>，部分小项目的预算编制金额不够精确，支出率小于年初预算数。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w:t>
      </w:r>
      <w:r w:rsidR="003A67DE">
        <w:rPr>
          <w:rFonts w:ascii="仿宋_GB2312" w:eastAsia="仿宋_GB2312" w:cs="DengXian-Regular" w:hint="eastAsia"/>
          <w:sz w:val="32"/>
          <w:szCs w:val="32"/>
        </w:rPr>
        <w:t>改进措施如下</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rsidP="003A67D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w:t>
      </w:r>
      <w:r w:rsidR="003A67DE">
        <w:rPr>
          <w:rFonts w:ascii="仿宋_GB2312" w:eastAsia="仿宋_GB2312" w:cs="DengXian-Regular" w:hint="eastAsia"/>
          <w:sz w:val="32"/>
          <w:szCs w:val="32"/>
        </w:rPr>
        <w:t>今后</w:t>
      </w:r>
      <w:r>
        <w:rPr>
          <w:rFonts w:ascii="仿宋_GB2312" w:eastAsia="仿宋_GB2312" w:cs="DengXian-Regular" w:hint="eastAsia"/>
          <w:sz w:val="32"/>
          <w:szCs w:val="32"/>
        </w:rPr>
        <w:t>在设置职责活动绩效指标时，</w:t>
      </w:r>
      <w:r w:rsidR="003A67DE">
        <w:rPr>
          <w:rFonts w:ascii="仿宋_GB2312" w:eastAsia="仿宋_GB2312" w:cs="DengXian-Regular" w:hint="eastAsia"/>
          <w:sz w:val="32"/>
          <w:szCs w:val="32"/>
        </w:rPr>
        <w:t>结合部门职责设定绩效目标，</w:t>
      </w:r>
      <w:r>
        <w:rPr>
          <w:rFonts w:ascii="仿宋_GB2312" w:eastAsia="仿宋_GB2312" w:cs="DengXian-Regular" w:hint="eastAsia"/>
          <w:sz w:val="32"/>
          <w:szCs w:val="32"/>
        </w:rPr>
        <w:t>将绩效目标细化分解为具体的工作任务数，从而使绩效目标可量化，便于对目标实现情况进行考核。</w:t>
      </w:r>
    </w:p>
    <w:p w:rsidR="00852C43" w:rsidRDefault="003A67D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2F5BF5">
        <w:rPr>
          <w:rFonts w:ascii="仿宋_GB2312" w:eastAsia="仿宋_GB2312" w:cs="DengXian-Regular" w:hint="eastAsia"/>
          <w:sz w:val="32"/>
          <w:szCs w:val="32"/>
        </w:rPr>
        <w:t>.强化政府采购执行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1" w:name="_Toc4346"/>
    </w:p>
    <w:p w:rsidR="00852C43" w:rsidRDefault="003A67D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2F5BF5">
        <w:rPr>
          <w:rFonts w:ascii="仿宋_GB2312" w:eastAsia="仿宋_GB2312" w:cs="DengXian-Regular" w:hint="eastAsia"/>
          <w:sz w:val="32"/>
          <w:szCs w:val="32"/>
        </w:rPr>
        <w:t>.提高项目资金使用率</w:t>
      </w:r>
    </w:p>
    <w:p w:rsidR="00852C43" w:rsidRDefault="003A67D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编制项目年初预算时提高预算金额的准确度，并在执行过程中及时</w:t>
      </w:r>
      <w:r w:rsidR="002F5BF5">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w:t>
      </w:r>
      <w:r w:rsidR="002F5BF5">
        <w:rPr>
          <w:rFonts w:ascii="仿宋_GB2312" w:eastAsia="仿宋_GB2312" w:hAnsiTheme="minorEastAsia" w:cs="Times New Roman" w:hint="eastAsia"/>
          <w:sz w:val="32"/>
          <w:szCs w:val="32"/>
          <w:u w:color="000000"/>
        </w:rPr>
        <w:lastRenderedPageBreak/>
        <w:t>时</w:t>
      </w:r>
      <w:r>
        <w:rPr>
          <w:rFonts w:ascii="仿宋_GB2312" w:eastAsia="仿宋_GB2312" w:hAnsiTheme="minorEastAsia" w:cs="Times New Roman" w:hint="eastAsia"/>
          <w:sz w:val="32"/>
          <w:szCs w:val="32"/>
          <w:u w:color="000000"/>
        </w:rPr>
        <w:t>交</w:t>
      </w:r>
      <w:r w:rsidR="002F5BF5">
        <w:rPr>
          <w:rFonts w:ascii="仿宋_GB2312" w:eastAsia="仿宋_GB2312" w:hAnsiTheme="minorEastAsia" w:cs="Times New Roman" w:hint="eastAsia"/>
          <w:sz w:val="32"/>
          <w:szCs w:val="32"/>
          <w:u w:color="000000"/>
        </w:rPr>
        <w:t>回，同时，对于按规定可以结转至下年的中央及省级项目资金，在下年的项目安排时优先考虑。</w:t>
      </w:r>
    </w:p>
    <w:p w:rsidR="00852C43" w:rsidRDefault="003A67D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002F5BF5">
        <w:rPr>
          <w:rFonts w:ascii="仿宋_GB2312" w:eastAsia="仿宋_GB2312" w:cs="DengXian-Regular" w:hint="eastAsia"/>
          <w:sz w:val="32"/>
          <w:szCs w:val="32"/>
        </w:rPr>
        <w:t>.</w:t>
      </w:r>
      <w:r w:rsidR="00E60CA7">
        <w:rPr>
          <w:rFonts w:ascii="仿宋_GB2312" w:eastAsia="仿宋_GB2312" w:cs="DengXian-Regular" w:hint="eastAsia"/>
          <w:sz w:val="32"/>
          <w:szCs w:val="32"/>
        </w:rPr>
        <w:t>提高</w:t>
      </w:r>
      <w:r w:rsidR="002F5BF5">
        <w:rPr>
          <w:rFonts w:ascii="仿宋_GB2312" w:eastAsia="仿宋_GB2312" w:cs="DengXian-Regular" w:hint="eastAsia"/>
          <w:sz w:val="32"/>
          <w:szCs w:val="32"/>
        </w:rPr>
        <w:t>预算</w:t>
      </w:r>
      <w:r w:rsidR="00E60CA7">
        <w:rPr>
          <w:rFonts w:ascii="仿宋_GB2312" w:eastAsia="仿宋_GB2312" w:cs="DengXian-Regular" w:hint="eastAsia"/>
          <w:sz w:val="32"/>
          <w:szCs w:val="32"/>
        </w:rPr>
        <w:t>项目资金</w:t>
      </w:r>
      <w:r w:rsidR="002F5BF5">
        <w:rPr>
          <w:rFonts w:ascii="仿宋_GB2312" w:eastAsia="仿宋_GB2312" w:cs="DengXian-Regular" w:hint="eastAsia"/>
          <w:sz w:val="32"/>
          <w:szCs w:val="32"/>
        </w:rPr>
        <w:t>安排</w:t>
      </w:r>
      <w:r w:rsidR="00E60CA7">
        <w:rPr>
          <w:rFonts w:ascii="仿宋_GB2312" w:eastAsia="仿宋_GB2312" w:cs="DengXian-Regular" w:hint="eastAsia"/>
          <w:sz w:val="32"/>
          <w:szCs w:val="32"/>
        </w:rPr>
        <w:t>精确率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201</w:t>
      </w:r>
      <w:r w:rsidR="00E60CA7">
        <w:rPr>
          <w:rFonts w:ascii="仿宋_GB2312" w:eastAsia="仿宋_GB2312" w:cs="DengXian-Regular" w:hint="eastAsia"/>
          <w:sz w:val="32"/>
          <w:szCs w:val="32"/>
        </w:rPr>
        <w:t>9</w:t>
      </w:r>
      <w:r>
        <w:rPr>
          <w:rFonts w:ascii="仿宋_GB2312" w:eastAsia="仿宋_GB2312" w:cs="DengXian-Regular"/>
          <w:sz w:val="32"/>
          <w:szCs w:val="32"/>
        </w:rPr>
        <w:t>年</w:t>
      </w:r>
      <w:r w:rsidR="00E60CA7">
        <w:rPr>
          <w:rFonts w:ascii="仿宋_GB2312" w:eastAsia="仿宋_GB2312" w:cs="DengXian-Regular" w:hint="eastAsia"/>
          <w:sz w:val="32"/>
          <w:szCs w:val="32"/>
        </w:rPr>
        <w:t>部分</w:t>
      </w:r>
      <w:r>
        <w:rPr>
          <w:rFonts w:ascii="仿宋_GB2312" w:eastAsia="仿宋_GB2312" w:cs="DengXian-Regular"/>
          <w:sz w:val="32"/>
          <w:szCs w:val="32"/>
        </w:rPr>
        <w:t>项目支出资金使用率较低，</w:t>
      </w:r>
      <w:r w:rsidR="00E60CA7">
        <w:rPr>
          <w:rFonts w:ascii="仿宋_GB2312" w:eastAsia="仿宋_GB2312" w:cs="DengXian-Regular" w:hint="eastAsia"/>
          <w:sz w:val="32"/>
          <w:szCs w:val="32"/>
        </w:rPr>
        <w:t>今后在测算项目所需资金预算时，按照政策要求，进一步测算准确，提高资金使用率</w:t>
      </w:r>
      <w:r>
        <w:rPr>
          <w:rFonts w:ascii="仿宋_GB2312" w:eastAsia="仿宋_GB2312" w:cs="DengXian-Regular"/>
          <w:sz w:val="32"/>
          <w:szCs w:val="32"/>
        </w:rPr>
        <w:t>。</w:t>
      </w:r>
    </w:p>
    <w:p w:rsidR="00852C43" w:rsidRDefault="002F5BF5">
      <w:pPr>
        <w:pStyle w:val="2"/>
        <w:spacing w:line="540" w:lineRule="exact"/>
        <w:jc w:val="center"/>
        <w:rPr>
          <w:rFonts w:ascii="黑体" w:hAnsi="黑体"/>
          <w:b w:val="0"/>
        </w:rPr>
      </w:pPr>
      <w:r>
        <w:rPr>
          <w:rFonts w:ascii="黑体" w:hAnsi="黑体" w:hint="eastAsia"/>
          <w:b w:val="0"/>
        </w:rPr>
        <w:t>第二部分   绩效评价报告</w:t>
      </w:r>
      <w:bookmarkEnd w:id="1"/>
    </w:p>
    <w:p w:rsidR="00852C43" w:rsidRDefault="002F5BF5">
      <w:pPr>
        <w:pStyle w:val="2"/>
        <w:spacing w:before="0" w:after="0" w:line="360" w:lineRule="auto"/>
        <w:ind w:firstLineChars="200" w:firstLine="643"/>
        <w:rPr>
          <w:rFonts w:ascii="楷体" w:eastAsia="楷体" w:hAnsi="楷体" w:cs="楷体"/>
        </w:rPr>
      </w:pPr>
      <w:bookmarkStart w:id="2" w:name="_Toc427"/>
      <w:bookmarkStart w:id="3" w:name="_Toc492652763"/>
      <w:r>
        <w:rPr>
          <w:rFonts w:ascii="楷体" w:eastAsia="楷体" w:hAnsi="楷体" w:cs="楷体" w:hint="eastAsia"/>
        </w:rPr>
        <w:t>一、保定市徐水区</w:t>
      </w:r>
      <w:r w:rsidR="00E60CA7">
        <w:rPr>
          <w:rFonts w:ascii="楷体" w:eastAsia="楷体" w:hAnsi="楷体" w:cs="楷体" w:hint="eastAsia"/>
        </w:rPr>
        <w:t>工业和信息化局</w:t>
      </w:r>
      <w:r>
        <w:rPr>
          <w:rFonts w:ascii="楷体" w:eastAsia="楷体" w:hAnsi="楷体" w:cs="楷体" w:hint="eastAsia"/>
        </w:rPr>
        <w:t>基本情况</w:t>
      </w:r>
      <w:bookmarkStart w:id="4" w:name="_Toc492652764"/>
      <w:bookmarkEnd w:id="2"/>
      <w:bookmarkEnd w:id="3"/>
    </w:p>
    <w:p w:rsidR="00852C43" w:rsidRDefault="002F5BF5">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E60CA7">
        <w:rPr>
          <w:rFonts w:ascii="仿宋_GB2312" w:eastAsia="仿宋_GB2312" w:cs="DengXian-Regular" w:hint="eastAsia"/>
          <w:sz w:val="32"/>
          <w:szCs w:val="32"/>
        </w:rPr>
        <w:t>工业和信息化局</w:t>
      </w:r>
      <w:r>
        <w:rPr>
          <w:rFonts w:ascii="仿宋_GB2312" w:eastAsia="仿宋_GB2312" w:cs="DengXian-Regular" w:hint="eastAsia"/>
          <w:sz w:val="32"/>
          <w:szCs w:val="32"/>
        </w:rPr>
        <w:t>职能配置</w:t>
      </w:r>
      <w:r w:rsidR="00E60CA7">
        <w:rPr>
          <w:rFonts w:ascii="仿宋_GB2312" w:eastAsia="仿宋_GB2312" w:cs="DengXian-Regular" w:hint="eastAsia"/>
          <w:sz w:val="32"/>
          <w:szCs w:val="32"/>
        </w:rPr>
        <w:t>、</w:t>
      </w:r>
      <w:r>
        <w:rPr>
          <w:rFonts w:ascii="仿宋_GB2312" w:eastAsia="仿宋_GB2312" w:cs="DengXian-Regular" w:hint="eastAsia"/>
          <w:sz w:val="32"/>
          <w:szCs w:val="32"/>
        </w:rPr>
        <w:t>内设机构和人员编制规定》的通知，</w:t>
      </w:r>
      <w:r w:rsidR="00E60CA7">
        <w:rPr>
          <w:rFonts w:ascii="仿宋_GB2312" w:eastAsia="仿宋_GB2312" w:cs="DengXian-Regular" w:hint="eastAsia"/>
          <w:sz w:val="32"/>
          <w:szCs w:val="32"/>
        </w:rPr>
        <w:t>工信局</w:t>
      </w:r>
      <w:r>
        <w:rPr>
          <w:rFonts w:ascii="仿宋_GB2312" w:eastAsia="仿宋_GB2312" w:cs="DengXian-Regular" w:hint="eastAsia"/>
          <w:sz w:val="32"/>
          <w:szCs w:val="32"/>
        </w:rPr>
        <w:t>为区政府工作部门，正科级单位，下设</w:t>
      </w:r>
      <w:r w:rsidR="00E60CA7">
        <w:rPr>
          <w:rFonts w:ascii="仿宋_GB2312" w:eastAsia="仿宋_GB2312" w:cs="DengXian-Regular" w:hint="eastAsia"/>
          <w:sz w:val="32"/>
          <w:szCs w:val="32"/>
        </w:rPr>
        <w:t>4</w:t>
      </w:r>
      <w:r>
        <w:rPr>
          <w:rFonts w:ascii="仿宋_GB2312" w:eastAsia="仿宋_GB2312" w:cs="DengXian-Regular" w:hint="eastAsia"/>
          <w:sz w:val="32"/>
          <w:szCs w:val="32"/>
        </w:rPr>
        <w:t>个股室。根据绩效预算管理改革的相关要求，按照“部门职责—工作活动绩效目标”的层级设立了绩效预算架构，职责活动包括</w:t>
      </w:r>
      <w:r w:rsidR="00E60CA7">
        <w:rPr>
          <w:rFonts w:ascii="仿宋_GB2312" w:eastAsia="仿宋_GB2312" w:cs="DengXian-Regular" w:hint="eastAsia"/>
          <w:sz w:val="32"/>
          <w:szCs w:val="32"/>
        </w:rPr>
        <w:t>支持工业转型升级</w:t>
      </w:r>
      <w:r w:rsidR="003D126B">
        <w:rPr>
          <w:rFonts w:ascii="仿宋_GB2312" w:eastAsia="仿宋_GB2312" w:cs="DengXian-Regular" w:hint="eastAsia"/>
          <w:sz w:val="32"/>
          <w:szCs w:val="32"/>
        </w:rPr>
        <w:t>、</w:t>
      </w:r>
      <w:r w:rsidR="00E60CA7">
        <w:rPr>
          <w:rFonts w:ascii="仿宋_GB2312" w:eastAsia="仿宋_GB2312" w:cs="DengXian-Regular" w:hint="eastAsia"/>
          <w:sz w:val="32"/>
          <w:szCs w:val="32"/>
        </w:rPr>
        <w:t>促进中小企业和民营经济发展</w:t>
      </w:r>
      <w:r w:rsidR="003D126B">
        <w:rPr>
          <w:rFonts w:ascii="仿宋_GB2312" w:eastAsia="仿宋_GB2312" w:cs="DengXian-Regular" w:hint="eastAsia"/>
          <w:sz w:val="32"/>
          <w:szCs w:val="32"/>
        </w:rPr>
        <w:t>、</w:t>
      </w:r>
      <w:r w:rsidR="00E60CA7">
        <w:rPr>
          <w:rFonts w:ascii="仿宋_GB2312" w:eastAsia="仿宋_GB2312" w:cs="DengXian-Regular" w:hint="eastAsia"/>
          <w:sz w:val="32"/>
          <w:szCs w:val="32"/>
        </w:rPr>
        <w:t>科技创新支撑</w:t>
      </w:r>
      <w:r>
        <w:rPr>
          <w:rFonts w:ascii="仿宋_GB2312" w:eastAsia="仿宋_GB2312" w:cs="DengXian-Regular" w:hint="eastAsia"/>
          <w:sz w:val="32"/>
          <w:szCs w:val="32"/>
        </w:rPr>
        <w:t>共</w:t>
      </w:r>
      <w:r w:rsidR="00E60CA7">
        <w:rPr>
          <w:rFonts w:ascii="仿宋_GB2312" w:eastAsia="仿宋_GB2312" w:cs="DengXian-Regular" w:hint="eastAsia"/>
          <w:sz w:val="32"/>
          <w:szCs w:val="32"/>
        </w:rPr>
        <w:t>三</w:t>
      </w:r>
      <w:r>
        <w:rPr>
          <w:rFonts w:ascii="仿宋_GB2312" w:eastAsia="仿宋_GB2312" w:cs="DengXian-Regular" w:hint="eastAsia"/>
          <w:sz w:val="32"/>
          <w:szCs w:val="32"/>
        </w:rPr>
        <w:t>部分。</w:t>
      </w:r>
      <w:bookmarkStart w:id="6" w:name="_Toc465149499"/>
      <w:bookmarkStart w:id="7" w:name="_Toc492652765"/>
    </w:p>
    <w:p w:rsidR="00852C43" w:rsidRDefault="002F5BF5">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按照201</w:t>
      </w:r>
      <w:r w:rsidR="003D126B">
        <w:rPr>
          <w:rFonts w:ascii="仿宋_GB2312" w:eastAsia="仿宋_GB2312" w:cs="DengXian-Regular" w:hint="eastAsia"/>
          <w:sz w:val="32"/>
          <w:szCs w:val="32"/>
        </w:rPr>
        <w:t>9</w:t>
      </w:r>
      <w:r>
        <w:rPr>
          <w:rFonts w:ascii="仿宋_GB2312" w:eastAsia="仿宋_GB2312" w:cs="DengXian-Regular" w:hint="eastAsia"/>
          <w:sz w:val="32"/>
          <w:szCs w:val="32"/>
        </w:rPr>
        <w:t>年绩效预算编制要求，</w:t>
      </w:r>
      <w:r w:rsidR="00E60CA7">
        <w:rPr>
          <w:rFonts w:ascii="仿宋_GB2312" w:eastAsia="仿宋_GB2312" w:cs="DengXian-Regular" w:hint="eastAsia"/>
          <w:sz w:val="32"/>
          <w:szCs w:val="32"/>
        </w:rPr>
        <w:t>工信局</w:t>
      </w:r>
      <w:r>
        <w:rPr>
          <w:rFonts w:ascii="仿宋_GB2312" w:eastAsia="仿宋_GB2312" w:cs="DengXian-Regular" w:hint="eastAsia"/>
          <w:sz w:val="32"/>
          <w:szCs w:val="32"/>
        </w:rPr>
        <w:t>设置的年度发展规划总体目标为：</w:t>
      </w:r>
    </w:p>
    <w:p w:rsidR="00E60CA7" w:rsidRDefault="00E60CA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以新观点、新举措、进一步加快推进工业向高端化、智能化、绿色化发展。坚持推进产业结构向中高端迈进；以智能制造为突破口，大力推进两化深度融合；坚持推进军民融合深度发展；进一步减轻企业负担，加大对中小微企业的支持；抓科技惠民，突出服务“三农”；坚持抓班子、带队伍为根本，强化党风廉政建设，以良好的精神状态和实干的工作作风，进一步解放思想、锐意进取，持续深入推进确保全年各项任务指标圆满完成</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1.开展</w:t>
      </w:r>
      <w:r w:rsidR="0013567B">
        <w:rPr>
          <w:rFonts w:ascii="仿宋_GB2312" w:eastAsia="仿宋_GB2312" w:cs="DengXian-Regular" w:hint="eastAsia"/>
          <w:sz w:val="32"/>
          <w:szCs w:val="32"/>
        </w:rPr>
        <w:t>高新技术企业创新</w:t>
      </w:r>
      <w:r>
        <w:rPr>
          <w:rFonts w:ascii="仿宋_GB2312" w:eastAsia="仿宋_GB2312" w:cs="DengXian-Regular" w:hint="eastAsia"/>
          <w:sz w:val="32"/>
          <w:szCs w:val="32"/>
        </w:rPr>
        <w:t>工作</w:t>
      </w:r>
      <w:r w:rsidR="0013567B">
        <w:rPr>
          <w:rFonts w:ascii="仿宋_GB2312" w:eastAsia="仿宋_GB2312" w:cs="DengXian-Regular" w:hint="eastAsia"/>
          <w:sz w:val="32"/>
          <w:szCs w:val="32"/>
        </w:rPr>
        <w:t>，确保高新技术企业新增5家</w:t>
      </w:r>
      <w:r>
        <w:rPr>
          <w:rFonts w:ascii="仿宋_GB2312" w:eastAsia="仿宋_GB2312" w:cs="DengXian-Regular" w:hint="eastAsia"/>
          <w:sz w:val="32"/>
          <w:szCs w:val="32"/>
        </w:rPr>
        <w:t>。</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2.开展</w:t>
      </w:r>
      <w:r w:rsidR="0013567B">
        <w:rPr>
          <w:rFonts w:ascii="仿宋_GB2312" w:eastAsia="仿宋_GB2312" w:cs="DengXian-Regular" w:hint="eastAsia"/>
          <w:sz w:val="32"/>
          <w:szCs w:val="32"/>
        </w:rPr>
        <w:t>科技型中小企业培育工作，确保科技型中小企业新增65家</w:t>
      </w:r>
      <w:r>
        <w:rPr>
          <w:rFonts w:ascii="仿宋_GB2312" w:eastAsia="仿宋_GB2312" w:cs="DengXian-Regular" w:hint="eastAsia"/>
          <w:sz w:val="32"/>
          <w:szCs w:val="32"/>
        </w:rPr>
        <w:t>。</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3.开展</w:t>
      </w:r>
      <w:r w:rsidR="0013567B">
        <w:rPr>
          <w:rFonts w:ascii="仿宋_GB2312" w:eastAsia="仿宋_GB2312" w:cs="DengXian-Regular" w:hint="eastAsia"/>
          <w:sz w:val="32"/>
          <w:szCs w:val="32"/>
        </w:rPr>
        <w:t>科技研发平台建设工作，确保科技研发平台新增1家</w:t>
      </w:r>
      <w:r>
        <w:rPr>
          <w:rFonts w:ascii="仿宋_GB2312" w:eastAsia="仿宋_GB2312" w:cs="DengXian-Regular" w:hint="eastAsia"/>
          <w:sz w:val="32"/>
          <w:szCs w:val="32"/>
        </w:rPr>
        <w:t>。</w:t>
      </w:r>
      <w:bookmarkStart w:id="9" w:name="_Toc1678"/>
      <w:bookmarkStart w:id="10" w:name="_Toc465149500"/>
      <w:bookmarkStart w:id="11" w:name="_Toc492652766"/>
    </w:p>
    <w:p w:rsidR="0013567B" w:rsidRDefault="0013567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4.促进民营经济发展，推动工业转型升级，确保入统规上企业新增5家，工业增加值增加5%。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w:t>
      </w:r>
      <w:r w:rsidR="00C55E20">
        <w:rPr>
          <w:rFonts w:ascii="仿宋_GB2312" w:eastAsia="仿宋_GB2312" w:cs="DengXian-Regular" w:hint="eastAsia"/>
          <w:sz w:val="32"/>
          <w:szCs w:val="32"/>
        </w:rPr>
        <w:t>年初</w:t>
      </w:r>
      <w:r>
        <w:rPr>
          <w:rFonts w:ascii="仿宋_GB2312" w:eastAsia="仿宋_GB2312" w:cs="DengXian-Regular" w:hint="eastAsia"/>
          <w:sz w:val="32"/>
          <w:szCs w:val="32"/>
        </w:rPr>
        <w:t>预算收入及决算收入</w:t>
      </w:r>
      <w:bookmarkEnd w:id="9"/>
    </w:p>
    <w:p w:rsidR="005A53D8"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2F5BF5">
        <w:rPr>
          <w:rFonts w:ascii="仿宋_GB2312" w:eastAsia="仿宋_GB2312" w:cs="DengXian-Regular" w:hint="eastAsia"/>
          <w:sz w:val="32"/>
          <w:szCs w:val="32"/>
        </w:rPr>
        <w:t>年区</w:t>
      </w:r>
      <w:r w:rsidR="0013567B">
        <w:rPr>
          <w:rFonts w:ascii="仿宋_GB2312" w:eastAsia="仿宋_GB2312" w:cs="DengXian-Regular" w:hint="eastAsia"/>
          <w:sz w:val="32"/>
          <w:szCs w:val="32"/>
        </w:rPr>
        <w:t>工信局</w:t>
      </w:r>
      <w:r w:rsidR="00C55E20">
        <w:rPr>
          <w:rFonts w:ascii="仿宋_GB2312" w:eastAsia="仿宋_GB2312" w:cs="DengXian-Regular" w:hint="eastAsia"/>
          <w:sz w:val="32"/>
          <w:szCs w:val="32"/>
        </w:rPr>
        <w:t>年初</w:t>
      </w:r>
      <w:r w:rsidR="002F5BF5">
        <w:rPr>
          <w:rFonts w:ascii="仿宋_GB2312" w:eastAsia="仿宋_GB2312" w:cs="DengXian-Regular" w:hint="eastAsia"/>
          <w:sz w:val="32"/>
          <w:szCs w:val="32"/>
        </w:rPr>
        <w:t>预算收入</w:t>
      </w:r>
      <w:r w:rsidR="00C55E20">
        <w:rPr>
          <w:rFonts w:ascii="仿宋_GB2312" w:eastAsia="仿宋_GB2312" w:cs="DengXian-Regular" w:hint="eastAsia"/>
          <w:sz w:val="32"/>
          <w:szCs w:val="32"/>
        </w:rPr>
        <w:t>1639.83</w:t>
      </w:r>
      <w:r w:rsidR="002F5BF5">
        <w:rPr>
          <w:rFonts w:ascii="仿宋_GB2312" w:eastAsia="仿宋_GB2312" w:cs="DengXian-Regular" w:hint="eastAsia"/>
          <w:sz w:val="32"/>
          <w:szCs w:val="32"/>
        </w:rPr>
        <w:t>万元，均为一般公共预算拨款，其中：财政拨款</w:t>
      </w:r>
      <w:r w:rsidR="00C55E20">
        <w:rPr>
          <w:rFonts w:ascii="仿宋_GB2312" w:eastAsia="仿宋_GB2312" w:cs="DengXian-Regular" w:hint="eastAsia"/>
          <w:sz w:val="32"/>
          <w:szCs w:val="32"/>
        </w:rPr>
        <w:t>1639.83</w:t>
      </w:r>
      <w:r w:rsidR="005A53D8">
        <w:rPr>
          <w:rFonts w:ascii="仿宋_GB2312" w:eastAsia="仿宋_GB2312" w:cs="DengXian-Regular" w:hint="eastAsia"/>
          <w:sz w:val="32"/>
          <w:szCs w:val="32"/>
        </w:rPr>
        <w:t>万元</w:t>
      </w:r>
      <w:r w:rsidR="002F5BF5">
        <w:rPr>
          <w:rFonts w:ascii="仿宋_GB2312" w:eastAsia="仿宋_GB2312" w:cs="DengXian-Regular" w:hint="eastAsia"/>
          <w:sz w:val="32"/>
          <w:szCs w:val="32"/>
        </w:rPr>
        <w:t>。预算收入按功能分类包含：</w:t>
      </w:r>
      <w:r w:rsidR="005A53D8">
        <w:rPr>
          <w:rFonts w:ascii="仿宋_GB2312" w:eastAsia="仿宋_GB2312" w:cs="DengXian-Regular" w:hint="eastAsia"/>
          <w:sz w:val="32"/>
          <w:szCs w:val="32"/>
        </w:rPr>
        <w:t>科学技术</w:t>
      </w:r>
      <w:r w:rsidR="002F5BF5">
        <w:rPr>
          <w:rFonts w:ascii="仿宋_GB2312" w:eastAsia="仿宋_GB2312" w:cs="DengXian-Regular" w:hint="eastAsia"/>
          <w:sz w:val="32"/>
          <w:szCs w:val="32"/>
        </w:rPr>
        <w:t>支出</w:t>
      </w:r>
      <w:r w:rsidR="00C55E20">
        <w:rPr>
          <w:rFonts w:ascii="仿宋_GB2312" w:eastAsia="仿宋_GB2312" w:cs="DengXian-Regular" w:hint="eastAsia"/>
          <w:sz w:val="32"/>
          <w:szCs w:val="32"/>
        </w:rPr>
        <w:t>935.3</w:t>
      </w:r>
      <w:r w:rsidR="002F5BF5">
        <w:rPr>
          <w:rFonts w:ascii="仿宋_GB2312" w:eastAsia="仿宋_GB2312" w:cs="DengXian-Regular" w:hint="eastAsia"/>
          <w:sz w:val="32"/>
          <w:szCs w:val="32"/>
        </w:rPr>
        <w:t>万元，社会保障和就业支出</w:t>
      </w:r>
      <w:r w:rsidR="00C55E20">
        <w:rPr>
          <w:rFonts w:ascii="仿宋_GB2312" w:eastAsia="仿宋_GB2312" w:cs="DengXian-Regular" w:hint="eastAsia"/>
          <w:sz w:val="32"/>
          <w:szCs w:val="32"/>
        </w:rPr>
        <w:t>252.09</w:t>
      </w:r>
      <w:r w:rsidR="002F5BF5">
        <w:rPr>
          <w:rFonts w:ascii="仿宋_GB2312" w:eastAsia="仿宋_GB2312" w:cs="DengXian-Regular" w:hint="eastAsia"/>
          <w:sz w:val="32"/>
          <w:szCs w:val="32"/>
        </w:rPr>
        <w:t>万元，</w:t>
      </w:r>
      <w:r w:rsidR="005A53D8">
        <w:rPr>
          <w:rFonts w:ascii="仿宋_GB2312" w:eastAsia="仿宋_GB2312" w:cs="DengXian-Regular" w:hint="eastAsia"/>
          <w:sz w:val="32"/>
          <w:szCs w:val="32"/>
        </w:rPr>
        <w:t>卫生健康</w:t>
      </w:r>
      <w:r w:rsidR="002F5BF5">
        <w:rPr>
          <w:rFonts w:ascii="仿宋_GB2312" w:eastAsia="仿宋_GB2312" w:cs="DengXian-Regular" w:hint="eastAsia"/>
          <w:sz w:val="32"/>
          <w:szCs w:val="32"/>
        </w:rPr>
        <w:t>支出</w:t>
      </w:r>
      <w:r w:rsidR="00C55E20">
        <w:rPr>
          <w:rFonts w:ascii="仿宋_GB2312" w:eastAsia="仿宋_GB2312" w:cs="DengXian-Regular" w:hint="eastAsia"/>
          <w:sz w:val="32"/>
          <w:szCs w:val="32"/>
        </w:rPr>
        <w:t>50.8</w:t>
      </w:r>
      <w:r w:rsidR="002F5BF5">
        <w:rPr>
          <w:rFonts w:ascii="仿宋_GB2312" w:eastAsia="仿宋_GB2312" w:cs="DengXian-Regular" w:hint="eastAsia"/>
          <w:sz w:val="32"/>
          <w:szCs w:val="32"/>
        </w:rPr>
        <w:t>万元，</w:t>
      </w:r>
      <w:r w:rsidR="005A53D8">
        <w:rPr>
          <w:rFonts w:ascii="仿宋_GB2312" w:eastAsia="仿宋_GB2312" w:cs="DengXian-Regular" w:hint="eastAsia"/>
          <w:sz w:val="32"/>
          <w:szCs w:val="32"/>
        </w:rPr>
        <w:t>商业</w:t>
      </w:r>
      <w:r w:rsidR="005A53D8">
        <w:rPr>
          <w:rFonts w:ascii="仿宋_GB2312" w:eastAsia="仿宋_GB2312" w:cs="DengXian-Regular" w:hint="eastAsia"/>
          <w:sz w:val="32"/>
          <w:szCs w:val="32"/>
        </w:rPr>
        <w:lastRenderedPageBreak/>
        <w:t>服务业支出</w:t>
      </w:r>
      <w:r w:rsidR="00C55E20">
        <w:rPr>
          <w:rFonts w:ascii="仿宋_GB2312" w:eastAsia="仿宋_GB2312" w:cs="DengXian-Regular" w:hint="eastAsia"/>
          <w:sz w:val="32"/>
          <w:szCs w:val="32"/>
        </w:rPr>
        <w:t>360</w:t>
      </w:r>
      <w:r w:rsidR="005A53D8">
        <w:rPr>
          <w:rFonts w:ascii="仿宋_GB2312" w:eastAsia="仿宋_GB2312" w:cs="DengXian-Regular" w:hint="eastAsia"/>
          <w:sz w:val="32"/>
          <w:szCs w:val="32"/>
        </w:rPr>
        <w:t>万元，</w:t>
      </w:r>
      <w:r w:rsidR="002F5BF5">
        <w:rPr>
          <w:rFonts w:ascii="仿宋_GB2312" w:eastAsia="仿宋_GB2312" w:cs="DengXian-Regular" w:hint="eastAsia"/>
          <w:sz w:val="32"/>
          <w:szCs w:val="32"/>
        </w:rPr>
        <w:t>住房保障支出</w:t>
      </w:r>
      <w:r w:rsidR="00C55E20">
        <w:rPr>
          <w:rFonts w:ascii="仿宋_GB2312" w:eastAsia="仿宋_GB2312" w:cs="DengXian-Regular" w:hint="eastAsia"/>
          <w:sz w:val="32"/>
          <w:szCs w:val="32"/>
        </w:rPr>
        <w:t>41.64</w:t>
      </w:r>
      <w:r w:rsidR="002F5BF5">
        <w:rPr>
          <w:rFonts w:ascii="仿宋_GB2312" w:eastAsia="仿宋_GB2312" w:cs="DengXian-Regular" w:hint="eastAsia"/>
          <w:sz w:val="32"/>
          <w:szCs w:val="32"/>
        </w:rPr>
        <w:t>万元。</w:t>
      </w:r>
      <w:r w:rsidR="00A74836">
        <w:rPr>
          <w:rFonts w:ascii="仿宋_GB2312" w:eastAsia="仿宋_GB2312" w:cs="DengXian-Regular" w:hint="eastAsia"/>
          <w:sz w:val="32"/>
          <w:szCs w:val="32"/>
        </w:rPr>
        <w:t>具体</w:t>
      </w:r>
      <w:r w:rsidR="008F09E2">
        <w:rPr>
          <w:rFonts w:ascii="仿宋_GB2312" w:eastAsia="仿宋_GB2312" w:cs="DengXian-Regular" w:hint="eastAsia"/>
          <w:sz w:val="32"/>
          <w:szCs w:val="32"/>
        </w:rPr>
        <w:t>预</w:t>
      </w:r>
      <w:r w:rsidR="00A74836">
        <w:rPr>
          <w:rFonts w:ascii="仿宋_GB2312" w:eastAsia="仿宋_GB2312" w:cs="DengXian-Regular" w:hint="eastAsia"/>
          <w:sz w:val="32"/>
          <w:szCs w:val="32"/>
        </w:rPr>
        <w:t>算收入详见附件。</w:t>
      </w:r>
    </w:p>
    <w:p w:rsidR="00E00A5F" w:rsidRDefault="002F5BF5" w:rsidP="00A7483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Pr>
          <w:rFonts w:ascii="仿宋_GB2312" w:eastAsia="仿宋_GB2312" w:cs="DengXian-Regular" w:hint="eastAsia"/>
          <w:sz w:val="32"/>
          <w:szCs w:val="32"/>
        </w:rPr>
        <w:t>年区</w:t>
      </w:r>
      <w:r w:rsidR="005A53D8">
        <w:rPr>
          <w:rFonts w:ascii="仿宋_GB2312" w:eastAsia="仿宋_GB2312" w:cs="DengXian-Regular" w:hint="eastAsia"/>
          <w:sz w:val="32"/>
          <w:szCs w:val="32"/>
        </w:rPr>
        <w:t>工信局</w:t>
      </w:r>
      <w:r>
        <w:rPr>
          <w:rFonts w:ascii="仿宋_GB2312" w:eastAsia="仿宋_GB2312" w:cs="DengXian-Regular" w:hint="eastAsia"/>
          <w:sz w:val="32"/>
          <w:szCs w:val="32"/>
        </w:rPr>
        <w:t>决算收入</w:t>
      </w:r>
      <w:r w:rsidR="00892528">
        <w:rPr>
          <w:rFonts w:ascii="仿宋_GB2312" w:eastAsia="仿宋_GB2312" w:cs="DengXian-Regular" w:hint="eastAsia"/>
          <w:sz w:val="32"/>
          <w:szCs w:val="32"/>
        </w:rPr>
        <w:t>1983.01</w:t>
      </w:r>
      <w:r>
        <w:rPr>
          <w:rFonts w:ascii="仿宋_GB2312" w:eastAsia="仿宋_GB2312" w:cs="DengXian-Regular" w:hint="eastAsia"/>
          <w:sz w:val="32"/>
          <w:szCs w:val="32"/>
        </w:rPr>
        <w:t>万元，其中：财政拨款收入</w:t>
      </w:r>
      <w:r w:rsidR="00892528">
        <w:rPr>
          <w:rFonts w:ascii="仿宋_GB2312" w:eastAsia="仿宋_GB2312" w:cs="DengXian-Regular" w:hint="eastAsia"/>
          <w:sz w:val="32"/>
          <w:szCs w:val="32"/>
        </w:rPr>
        <w:t>1982.81</w:t>
      </w:r>
      <w:r>
        <w:rPr>
          <w:rFonts w:ascii="仿宋_GB2312" w:eastAsia="仿宋_GB2312" w:cs="DengXian-Regular" w:hint="eastAsia"/>
          <w:sz w:val="32"/>
          <w:szCs w:val="32"/>
        </w:rPr>
        <w:t>万元，其他收入</w:t>
      </w:r>
      <w:r w:rsidR="00892528">
        <w:rPr>
          <w:rFonts w:ascii="仿宋_GB2312" w:eastAsia="仿宋_GB2312" w:cs="DengXian-Regular" w:hint="eastAsia"/>
          <w:sz w:val="32"/>
          <w:szCs w:val="32"/>
        </w:rPr>
        <w:t>0.2</w:t>
      </w:r>
      <w:r>
        <w:rPr>
          <w:rFonts w:ascii="仿宋_GB2312" w:eastAsia="仿宋_GB2312" w:cs="DengXian-Regular" w:hint="eastAsia"/>
          <w:sz w:val="32"/>
          <w:szCs w:val="32"/>
        </w:rPr>
        <w:t>万元（全部为利息收入）。决算收入按功能分类包含：</w:t>
      </w:r>
      <w:r w:rsidR="00892528">
        <w:rPr>
          <w:rFonts w:ascii="仿宋_GB2312" w:eastAsia="仿宋_GB2312" w:cs="DengXian-Regular" w:hint="eastAsia"/>
          <w:sz w:val="32"/>
          <w:szCs w:val="32"/>
        </w:rPr>
        <w:t>科学技术支出</w:t>
      </w:r>
      <w:r w:rsidR="00892528">
        <w:rPr>
          <w:rFonts w:ascii="仿宋_GB2312" w:eastAsia="仿宋_GB2312" w:cs="DengXian-Regular" w:hint="eastAsia"/>
          <w:color w:val="FF0000"/>
          <w:sz w:val="32"/>
          <w:szCs w:val="32"/>
        </w:rPr>
        <w:t>529.</w:t>
      </w:r>
      <w:r w:rsidR="008F09E2">
        <w:rPr>
          <w:rFonts w:ascii="仿宋_GB2312" w:eastAsia="仿宋_GB2312" w:cs="DengXian-Regular" w:hint="eastAsia"/>
          <w:color w:val="FF0000"/>
          <w:sz w:val="32"/>
          <w:szCs w:val="32"/>
        </w:rPr>
        <w:t>5</w:t>
      </w:r>
      <w:r w:rsidR="009957C4">
        <w:rPr>
          <w:rFonts w:ascii="仿宋_GB2312" w:eastAsia="仿宋_GB2312" w:cs="DengXian-Regular" w:hint="eastAsia"/>
          <w:color w:val="FF0000"/>
          <w:sz w:val="32"/>
          <w:szCs w:val="32"/>
        </w:rPr>
        <w:t>5</w:t>
      </w:r>
      <w:r w:rsidR="00892528">
        <w:rPr>
          <w:rFonts w:ascii="仿宋_GB2312" w:eastAsia="仿宋_GB2312" w:cs="DengXian-Regular" w:hint="eastAsia"/>
          <w:sz w:val="32"/>
          <w:szCs w:val="32"/>
        </w:rPr>
        <w:t>万元，占比26.69%；社会保障和就业支出</w:t>
      </w:r>
      <w:r w:rsidR="00892528" w:rsidRPr="00892528">
        <w:rPr>
          <w:rFonts w:ascii="仿宋_GB2312" w:eastAsia="仿宋_GB2312" w:cs="DengXian-Regular" w:hint="eastAsia"/>
          <w:color w:val="FF0000"/>
          <w:sz w:val="32"/>
          <w:szCs w:val="32"/>
        </w:rPr>
        <w:t>490.</w:t>
      </w:r>
      <w:r w:rsidR="00892528">
        <w:rPr>
          <w:rFonts w:ascii="仿宋_GB2312" w:eastAsia="仿宋_GB2312" w:cs="DengXian-Regular" w:hint="eastAsia"/>
          <w:color w:val="FF0000"/>
          <w:sz w:val="32"/>
          <w:szCs w:val="32"/>
        </w:rPr>
        <w:t>08</w:t>
      </w:r>
      <w:r w:rsidR="00892528">
        <w:rPr>
          <w:rFonts w:ascii="仿宋_GB2312" w:eastAsia="仿宋_GB2312" w:cs="DengXian-Regular" w:hint="eastAsia"/>
          <w:sz w:val="32"/>
          <w:szCs w:val="32"/>
        </w:rPr>
        <w:t>万元，占比24.7</w:t>
      </w:r>
      <w:r w:rsidR="00A74836">
        <w:rPr>
          <w:rFonts w:ascii="仿宋_GB2312" w:eastAsia="仿宋_GB2312" w:cs="DengXian-Regular" w:hint="eastAsia"/>
          <w:sz w:val="32"/>
          <w:szCs w:val="32"/>
        </w:rPr>
        <w:t>2</w:t>
      </w:r>
      <w:r w:rsidR="00892528">
        <w:rPr>
          <w:rFonts w:ascii="仿宋_GB2312" w:eastAsia="仿宋_GB2312" w:cs="DengXian-Regular" w:hint="eastAsia"/>
          <w:sz w:val="32"/>
          <w:szCs w:val="32"/>
        </w:rPr>
        <w:t>%；卫生健康支出</w:t>
      </w:r>
      <w:r w:rsidR="00892528" w:rsidRPr="00892528">
        <w:rPr>
          <w:rFonts w:ascii="仿宋_GB2312" w:eastAsia="仿宋_GB2312" w:cs="DengXian-Regular" w:hint="eastAsia"/>
          <w:color w:val="FF0000"/>
          <w:sz w:val="32"/>
          <w:szCs w:val="32"/>
        </w:rPr>
        <w:t>37.71</w:t>
      </w:r>
      <w:r w:rsidR="00892528">
        <w:rPr>
          <w:rFonts w:ascii="仿宋_GB2312" w:eastAsia="仿宋_GB2312" w:cs="DengXian-Regular" w:hint="eastAsia"/>
          <w:sz w:val="32"/>
          <w:szCs w:val="32"/>
        </w:rPr>
        <w:t>万元，占比1.9%；资源勘探信息等支出</w:t>
      </w:r>
      <w:r w:rsidR="00892528">
        <w:rPr>
          <w:rFonts w:ascii="仿宋_GB2312" w:eastAsia="仿宋_GB2312" w:cs="DengXian-Regular" w:hint="eastAsia"/>
          <w:color w:val="FF0000"/>
          <w:sz w:val="32"/>
          <w:szCs w:val="32"/>
        </w:rPr>
        <w:t>634.56</w:t>
      </w:r>
      <w:r w:rsidR="00892528">
        <w:rPr>
          <w:rFonts w:ascii="仿宋_GB2312" w:eastAsia="仿宋_GB2312" w:cs="DengXian-Regular" w:hint="eastAsia"/>
          <w:sz w:val="32"/>
          <w:szCs w:val="32"/>
        </w:rPr>
        <w:t>万元，占比32%；商业服务业支出</w:t>
      </w:r>
      <w:r w:rsidR="00892528" w:rsidRPr="00892528">
        <w:rPr>
          <w:rFonts w:ascii="仿宋_GB2312" w:eastAsia="仿宋_GB2312" w:cs="DengXian-Regular" w:hint="eastAsia"/>
          <w:color w:val="FF0000"/>
          <w:sz w:val="32"/>
          <w:szCs w:val="32"/>
        </w:rPr>
        <w:t>225</w:t>
      </w:r>
      <w:r w:rsidR="00892528">
        <w:rPr>
          <w:rFonts w:ascii="仿宋_GB2312" w:eastAsia="仿宋_GB2312" w:cs="DengXian-Regular" w:hint="eastAsia"/>
          <w:sz w:val="32"/>
          <w:szCs w:val="32"/>
        </w:rPr>
        <w:t>万元，占比11.3</w:t>
      </w:r>
      <w:r w:rsidR="00A74836">
        <w:rPr>
          <w:rFonts w:ascii="仿宋_GB2312" w:eastAsia="仿宋_GB2312" w:cs="DengXian-Regular" w:hint="eastAsia"/>
          <w:sz w:val="32"/>
          <w:szCs w:val="32"/>
        </w:rPr>
        <w:t>6</w:t>
      </w:r>
      <w:r w:rsidR="00892528">
        <w:rPr>
          <w:rFonts w:ascii="仿宋_GB2312" w:eastAsia="仿宋_GB2312" w:cs="DengXian-Regular" w:hint="eastAsia"/>
          <w:sz w:val="32"/>
          <w:szCs w:val="32"/>
        </w:rPr>
        <w:t>%；住房保障支出</w:t>
      </w:r>
      <w:r w:rsidR="00892528" w:rsidRPr="00892528">
        <w:rPr>
          <w:rFonts w:ascii="仿宋_GB2312" w:eastAsia="仿宋_GB2312" w:cs="DengXian-Regular" w:hint="eastAsia"/>
          <w:color w:val="FF0000"/>
          <w:sz w:val="32"/>
          <w:szCs w:val="32"/>
        </w:rPr>
        <w:t>36.1</w:t>
      </w:r>
      <w:r w:rsidR="009957C4">
        <w:rPr>
          <w:rFonts w:ascii="仿宋_GB2312" w:eastAsia="仿宋_GB2312" w:cs="DengXian-Regular" w:hint="eastAsia"/>
          <w:color w:val="FF0000"/>
          <w:sz w:val="32"/>
          <w:szCs w:val="32"/>
        </w:rPr>
        <w:t>1</w:t>
      </w:r>
      <w:r w:rsidR="00892528">
        <w:rPr>
          <w:rFonts w:ascii="仿宋_GB2312" w:eastAsia="仿宋_GB2312" w:cs="DengXian-Regular" w:hint="eastAsia"/>
          <w:sz w:val="32"/>
          <w:szCs w:val="32"/>
        </w:rPr>
        <w:t>万元，占比1.82%；其他支出（2018年新增规上企业奖励支出）</w:t>
      </w:r>
      <w:r w:rsidR="00892528" w:rsidRPr="00892528">
        <w:rPr>
          <w:rFonts w:ascii="仿宋_GB2312" w:eastAsia="仿宋_GB2312" w:cs="DengXian-Regular" w:hint="eastAsia"/>
          <w:color w:val="FF0000"/>
          <w:sz w:val="32"/>
          <w:szCs w:val="32"/>
        </w:rPr>
        <w:t>30</w:t>
      </w:r>
      <w:r w:rsidR="00892528">
        <w:rPr>
          <w:rFonts w:ascii="仿宋_GB2312" w:eastAsia="仿宋_GB2312" w:cs="DengXian-Regular" w:hint="eastAsia"/>
          <w:sz w:val="32"/>
          <w:szCs w:val="32"/>
        </w:rPr>
        <w:t>万元，占比1.51%。</w:t>
      </w:r>
      <w:r>
        <w:rPr>
          <w:rFonts w:ascii="仿宋_GB2312" w:eastAsia="仿宋_GB2312" w:cs="DengXian-Regular" w:hint="eastAsia"/>
          <w:sz w:val="32"/>
          <w:szCs w:val="32"/>
        </w:rPr>
        <w:t>具体决算收入详见附件</w:t>
      </w:r>
      <w:r w:rsidR="00A74836">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图1  201</w:t>
      </w:r>
      <w:r w:rsidR="00E00A5F">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年度区</w:t>
      </w:r>
      <w:r w:rsidR="00A74836" w:rsidRPr="00C55E20">
        <w:rPr>
          <w:rFonts w:asciiTheme="minorEastAsia" w:eastAsiaTheme="minorEastAsia" w:hAnsiTheme="minorEastAsia" w:cs="DengXian-Regular" w:hint="eastAsia"/>
          <w:b/>
          <w:sz w:val="32"/>
          <w:szCs w:val="32"/>
        </w:rPr>
        <w:t>工信局</w:t>
      </w:r>
      <w:r>
        <w:rPr>
          <w:rFonts w:asciiTheme="minorEastAsia" w:eastAsiaTheme="minorEastAsia" w:hAnsiTheme="minorEastAsia" w:cstheme="minorEastAsia" w:hint="eastAsia"/>
          <w:b/>
          <w:bCs/>
          <w:sz w:val="32"/>
          <w:szCs w:val="32"/>
        </w:rPr>
        <w:t>决算收入结构图</w:t>
      </w:r>
    </w:p>
    <w:p w:rsidR="00367629" w:rsidRDefault="00367629" w:rsidP="00367629">
      <w:pPr>
        <w:spacing w:after="0" w:line="360" w:lineRule="auto"/>
        <w:textAlignment w:val="baseline"/>
        <w:rPr>
          <w:rFonts w:ascii="仿宋_GB2312" w:eastAsia="仿宋_GB2312" w:cs="DengXian-Regular"/>
          <w:sz w:val="32"/>
          <w:szCs w:val="32"/>
        </w:rPr>
      </w:pPr>
      <w:r w:rsidRPr="00367629">
        <w:rPr>
          <w:rFonts w:ascii="仿宋_GB2312" w:eastAsia="仿宋_GB2312" w:cs="DengXian-Regular"/>
          <w:noProof/>
          <w:sz w:val="32"/>
          <w:szCs w:val="32"/>
        </w:rPr>
        <w:drawing>
          <wp:inline distT="0" distB="0" distL="0" distR="0">
            <wp:extent cx="5234940" cy="3002280"/>
            <wp:effectExtent l="19050" t="0" r="2286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2C43" w:rsidRDefault="00885D32">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工信局一般公共预算财政拨款决算收入比年初预算</w:t>
      </w:r>
      <w:r w:rsidR="001A51CE">
        <w:rPr>
          <w:rFonts w:ascii="仿宋_GB2312" w:eastAsia="仿宋_GB2312" w:cs="DengXian-Regular" w:hint="eastAsia"/>
          <w:sz w:val="32"/>
          <w:szCs w:val="32"/>
        </w:rPr>
        <w:t>增加343.18</w:t>
      </w:r>
      <w:r w:rsidR="002F5BF5">
        <w:rPr>
          <w:rFonts w:ascii="仿宋_GB2312" w:eastAsia="仿宋_GB2312" w:cs="DengXian-Regular" w:hint="eastAsia"/>
          <w:sz w:val="32"/>
          <w:szCs w:val="32"/>
        </w:rPr>
        <w:t>万元，完成年初预算的</w:t>
      </w:r>
      <w:r>
        <w:rPr>
          <w:rFonts w:ascii="仿宋_GB2312" w:eastAsia="仿宋_GB2312" w:cs="DengXian-Regular" w:hint="eastAsia"/>
          <w:sz w:val="32"/>
          <w:szCs w:val="32"/>
        </w:rPr>
        <w:t>120.92</w:t>
      </w:r>
      <w:r w:rsidR="002F5BF5">
        <w:rPr>
          <w:rFonts w:ascii="仿宋_GB2312" w:eastAsia="仿宋_GB2312" w:cs="DengXian-Regular" w:hint="eastAsia"/>
          <w:sz w:val="32"/>
          <w:szCs w:val="32"/>
        </w:rPr>
        <w:t>%。</w:t>
      </w:r>
      <w:r>
        <w:rPr>
          <w:rFonts w:ascii="仿宋_GB2312" w:eastAsia="仿宋_GB2312" w:cs="DengXian-Regular" w:hint="eastAsia"/>
          <w:sz w:val="32"/>
          <w:szCs w:val="32"/>
        </w:rPr>
        <w:t>决算收入</w:t>
      </w:r>
      <w:r w:rsidR="0074285A">
        <w:rPr>
          <w:rFonts w:ascii="仿宋_GB2312" w:eastAsia="仿宋_GB2312" w:cs="DengXian-Regular" w:hint="eastAsia"/>
          <w:sz w:val="32"/>
          <w:szCs w:val="32"/>
        </w:rPr>
        <w:t>大于年初预算收入的主要原因在于上级追加专项资金</w:t>
      </w:r>
      <w:r w:rsidR="009957C4">
        <w:rPr>
          <w:rFonts w:ascii="仿宋_GB2312" w:eastAsia="仿宋_GB2312" w:cs="DengXian-Regular" w:hint="eastAsia"/>
          <w:sz w:val="32"/>
          <w:szCs w:val="32"/>
        </w:rPr>
        <w:t>较多</w:t>
      </w:r>
      <w:r>
        <w:rPr>
          <w:rFonts w:ascii="仿宋_GB2312" w:eastAsia="仿宋_GB2312" w:cs="DengXian-Regular" w:hint="eastAsia"/>
          <w:sz w:val="32"/>
          <w:szCs w:val="32"/>
        </w:rPr>
        <w:t>。</w:t>
      </w:r>
    </w:p>
    <w:p w:rsidR="00852C43" w:rsidRDefault="002F5BF5">
      <w:pPr>
        <w:spacing w:after="0" w:line="360" w:lineRule="auto"/>
        <w:jc w:val="center"/>
        <w:rPr>
          <w:rFonts w:asciiTheme="minorEastAsia" w:eastAsiaTheme="minorEastAsia" w:hAnsiTheme="minorEastAsia" w:cstheme="minorEastAsia"/>
          <w:b/>
          <w:sz w:val="32"/>
          <w:szCs w:val="32"/>
          <w:u w:color="000000"/>
        </w:rPr>
      </w:pPr>
      <w:r>
        <w:rPr>
          <w:rFonts w:asciiTheme="minorEastAsia" w:eastAsiaTheme="minorEastAsia" w:hAnsiTheme="minorEastAsia" w:cstheme="minorEastAsia" w:hint="eastAsia"/>
          <w:b/>
          <w:sz w:val="32"/>
          <w:szCs w:val="32"/>
          <w:u w:color="000000"/>
        </w:rPr>
        <w:t>图2  201</w:t>
      </w:r>
      <w:r w:rsidR="00E00A5F">
        <w:rPr>
          <w:rFonts w:asciiTheme="minorEastAsia" w:eastAsiaTheme="minorEastAsia" w:hAnsiTheme="minorEastAsia" w:cstheme="minorEastAsia" w:hint="eastAsia"/>
          <w:b/>
          <w:sz w:val="32"/>
          <w:szCs w:val="32"/>
          <w:u w:color="000000"/>
        </w:rPr>
        <w:t>9</w:t>
      </w:r>
      <w:r>
        <w:rPr>
          <w:rFonts w:asciiTheme="minorEastAsia" w:eastAsiaTheme="minorEastAsia" w:hAnsiTheme="minorEastAsia" w:cstheme="minorEastAsia" w:hint="eastAsia"/>
          <w:b/>
          <w:sz w:val="32"/>
          <w:szCs w:val="32"/>
          <w:u w:color="000000"/>
        </w:rPr>
        <w:t>年度区</w:t>
      </w:r>
      <w:r w:rsidR="00C55E20" w:rsidRPr="00C55E20">
        <w:rPr>
          <w:rFonts w:asciiTheme="minorEastAsia" w:eastAsiaTheme="minorEastAsia" w:hAnsiTheme="minorEastAsia" w:cs="DengXian-Regular" w:hint="eastAsia"/>
          <w:b/>
          <w:sz w:val="32"/>
          <w:szCs w:val="32"/>
        </w:rPr>
        <w:t>工信局</w:t>
      </w:r>
      <w:r w:rsidR="00C55E20">
        <w:rPr>
          <w:rFonts w:asciiTheme="minorEastAsia" w:eastAsiaTheme="minorEastAsia" w:hAnsiTheme="minorEastAsia" w:cs="DengXian-Regular" w:hint="eastAsia"/>
          <w:b/>
          <w:sz w:val="32"/>
          <w:szCs w:val="32"/>
        </w:rPr>
        <w:t>年初</w:t>
      </w:r>
      <w:r>
        <w:rPr>
          <w:rFonts w:asciiTheme="minorEastAsia" w:eastAsiaTheme="minorEastAsia" w:hAnsiTheme="minorEastAsia" w:cstheme="minorEastAsia" w:hint="eastAsia"/>
          <w:b/>
          <w:sz w:val="32"/>
          <w:szCs w:val="32"/>
          <w:u w:color="000000"/>
        </w:rPr>
        <w:t>预算收入与决算收入对比图</w:t>
      </w:r>
    </w:p>
    <w:p w:rsidR="0074285A" w:rsidRDefault="0074285A" w:rsidP="0074285A">
      <w:pPr>
        <w:spacing w:after="0" w:line="360" w:lineRule="auto"/>
        <w:rPr>
          <w:rFonts w:ascii="仿宋_GB2312" w:eastAsia="仿宋_GB2312" w:hAnsiTheme="minorEastAsia" w:cs="Times New Roman"/>
          <w:bCs/>
          <w:sz w:val="32"/>
          <w:szCs w:val="32"/>
          <w:u w:color="000000"/>
        </w:rPr>
      </w:pPr>
      <w:r w:rsidRPr="0074285A">
        <w:rPr>
          <w:rFonts w:ascii="仿宋_GB2312" w:eastAsia="仿宋_GB2312" w:hAnsiTheme="minorEastAsia" w:cs="Times New Roman"/>
          <w:bCs/>
          <w:noProof/>
          <w:sz w:val="32"/>
          <w:szCs w:val="32"/>
          <w:u w:color="000000"/>
        </w:rPr>
        <w:drawing>
          <wp:inline distT="0" distB="0" distL="0" distR="0">
            <wp:extent cx="5265420" cy="3070860"/>
            <wp:effectExtent l="19050" t="0" r="1143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2C43" w:rsidRDefault="002F5BF5">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0430DB">
        <w:rPr>
          <w:rFonts w:ascii="仿宋_GB2312" w:eastAsia="仿宋_GB2312" w:cs="DengXian-Regular" w:hint="eastAsia"/>
          <w:sz w:val="32"/>
          <w:szCs w:val="32"/>
        </w:rPr>
        <w:t>工信局年初</w:t>
      </w:r>
      <w:r w:rsidR="002F5BF5">
        <w:rPr>
          <w:rFonts w:ascii="仿宋_GB2312" w:eastAsia="仿宋_GB2312" w:hAnsiTheme="minorEastAsia" w:cs="Times New Roman" w:hint="eastAsia"/>
          <w:sz w:val="32"/>
          <w:szCs w:val="32"/>
          <w:u w:color="000000"/>
        </w:rPr>
        <w:t>预算支出安排</w:t>
      </w:r>
      <w:r w:rsidR="001A51CE">
        <w:rPr>
          <w:rFonts w:ascii="仿宋_GB2312" w:eastAsia="仿宋_GB2312" w:hAnsiTheme="minorEastAsia" w:cs="Times New Roman" w:hint="eastAsia"/>
          <w:sz w:val="32"/>
          <w:szCs w:val="32"/>
          <w:u w:color="000000"/>
        </w:rPr>
        <w:t>1639.83</w:t>
      </w:r>
      <w:r w:rsidR="002F5BF5">
        <w:rPr>
          <w:rFonts w:ascii="仿宋_GB2312" w:eastAsia="仿宋_GB2312" w:hAnsiTheme="minorEastAsia" w:cs="Times New Roman" w:hint="eastAsia"/>
          <w:sz w:val="32"/>
          <w:szCs w:val="32"/>
          <w:u w:color="000000"/>
        </w:rPr>
        <w:t>万元，其中：基本支出</w:t>
      </w:r>
      <w:r w:rsidR="001A51CE">
        <w:rPr>
          <w:rFonts w:ascii="仿宋_GB2312" w:eastAsia="仿宋_GB2312" w:hAnsiTheme="minorEastAsia" w:cs="Times New Roman" w:hint="eastAsia"/>
          <w:sz w:val="32"/>
          <w:szCs w:val="32"/>
          <w:u w:color="000000"/>
        </w:rPr>
        <w:t>1148.21</w:t>
      </w:r>
      <w:r w:rsidR="002F5BF5">
        <w:rPr>
          <w:rFonts w:ascii="仿宋_GB2312" w:eastAsia="仿宋_GB2312" w:hAnsiTheme="minorEastAsia" w:cs="Times New Roman" w:hint="eastAsia"/>
          <w:sz w:val="32"/>
          <w:szCs w:val="32"/>
          <w:u w:color="000000"/>
        </w:rPr>
        <w:t>万元，项目支出</w:t>
      </w:r>
      <w:r w:rsidR="001A51CE">
        <w:rPr>
          <w:rFonts w:ascii="仿宋_GB2312" w:eastAsia="仿宋_GB2312" w:hAnsiTheme="minorEastAsia" w:cs="Times New Roman" w:hint="eastAsia"/>
          <w:sz w:val="32"/>
          <w:szCs w:val="32"/>
          <w:u w:color="000000"/>
        </w:rPr>
        <w:t>491.62</w:t>
      </w:r>
      <w:r w:rsidR="002F5BF5">
        <w:rPr>
          <w:rFonts w:ascii="仿宋_GB2312" w:eastAsia="仿宋_GB2312" w:hAnsiTheme="minorEastAsia" w:cs="Times New Roman" w:hint="eastAsia"/>
          <w:sz w:val="32"/>
          <w:szCs w:val="32"/>
          <w:u w:color="000000"/>
        </w:rPr>
        <w:t>万元。预算支出按功能分类包含：</w:t>
      </w:r>
      <w:r w:rsidR="001A51CE">
        <w:rPr>
          <w:rFonts w:ascii="仿宋_GB2312" w:eastAsia="仿宋_GB2312" w:hAnsiTheme="minorEastAsia" w:cs="Times New Roman" w:hint="eastAsia"/>
          <w:sz w:val="32"/>
          <w:szCs w:val="32"/>
          <w:u w:color="000000"/>
        </w:rPr>
        <w:t>科学技术支出935.3</w:t>
      </w:r>
      <w:r w:rsidR="002F5BF5">
        <w:rPr>
          <w:rFonts w:ascii="仿宋_GB2312" w:eastAsia="仿宋_GB2312" w:hAnsiTheme="minorEastAsia" w:cs="Times New Roman" w:hint="eastAsia"/>
          <w:sz w:val="32"/>
          <w:szCs w:val="32"/>
          <w:u w:color="000000"/>
        </w:rPr>
        <w:t>万元，社会保障和就业支出</w:t>
      </w:r>
      <w:r w:rsidR="001A51CE">
        <w:rPr>
          <w:rFonts w:ascii="仿宋_GB2312" w:eastAsia="仿宋_GB2312" w:hAnsiTheme="minorEastAsia" w:cs="Times New Roman" w:hint="eastAsia"/>
          <w:sz w:val="32"/>
          <w:szCs w:val="32"/>
          <w:u w:color="000000"/>
        </w:rPr>
        <w:t>252.09</w:t>
      </w:r>
      <w:r w:rsidR="002F5BF5">
        <w:rPr>
          <w:rFonts w:ascii="仿宋_GB2312" w:eastAsia="仿宋_GB2312" w:hAnsiTheme="minorEastAsia" w:cs="Times New Roman" w:hint="eastAsia"/>
          <w:sz w:val="32"/>
          <w:szCs w:val="32"/>
          <w:u w:color="000000"/>
        </w:rPr>
        <w:t>万元，</w:t>
      </w:r>
      <w:r w:rsidR="001A51CE">
        <w:rPr>
          <w:rFonts w:ascii="仿宋_GB2312" w:eastAsia="仿宋_GB2312" w:hAnsiTheme="minorEastAsia" w:cs="Times New Roman" w:hint="eastAsia"/>
          <w:sz w:val="32"/>
          <w:szCs w:val="32"/>
          <w:u w:color="000000"/>
        </w:rPr>
        <w:t>医疗卫生与计划教育支出50.8万元，商业服务业等支出360万元，</w:t>
      </w:r>
      <w:r w:rsidR="002F5BF5">
        <w:rPr>
          <w:rFonts w:ascii="仿宋_GB2312" w:eastAsia="仿宋_GB2312" w:hAnsiTheme="minorEastAsia" w:cs="Times New Roman" w:hint="eastAsia"/>
          <w:sz w:val="32"/>
          <w:szCs w:val="32"/>
          <w:u w:color="000000"/>
        </w:rPr>
        <w:t>住房保障支出</w:t>
      </w:r>
      <w:r w:rsidR="001A51CE">
        <w:rPr>
          <w:rFonts w:ascii="仿宋_GB2312" w:eastAsia="仿宋_GB2312" w:hAnsiTheme="minorEastAsia" w:cs="Times New Roman" w:hint="eastAsia"/>
          <w:sz w:val="32"/>
          <w:szCs w:val="32"/>
          <w:u w:color="000000"/>
        </w:rPr>
        <w:t>41.64</w:t>
      </w:r>
      <w:r w:rsidR="002F5BF5">
        <w:rPr>
          <w:rFonts w:ascii="仿宋_GB2312" w:eastAsia="仿宋_GB2312" w:hAnsiTheme="minorEastAsia" w:cs="Times New Roman" w:hint="eastAsia"/>
          <w:sz w:val="32"/>
          <w:szCs w:val="32"/>
          <w:u w:color="000000"/>
        </w:rPr>
        <w:t>万元。具体预算支出详见附件。</w:t>
      </w:r>
    </w:p>
    <w:p w:rsidR="00E00A5F"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1A51CE">
        <w:rPr>
          <w:rFonts w:ascii="仿宋_GB2312" w:eastAsia="仿宋_GB2312" w:cs="DengXian-Regular" w:hint="eastAsia"/>
          <w:sz w:val="32"/>
          <w:szCs w:val="32"/>
        </w:rPr>
        <w:t>工信局</w:t>
      </w:r>
      <w:r w:rsidR="002F5BF5">
        <w:rPr>
          <w:rFonts w:ascii="仿宋_GB2312" w:eastAsia="仿宋_GB2312" w:hAnsiTheme="minorEastAsia" w:cs="Times New Roman" w:hint="eastAsia"/>
          <w:sz w:val="32"/>
          <w:szCs w:val="32"/>
          <w:u w:color="000000"/>
        </w:rPr>
        <w:t>决算支出为</w:t>
      </w:r>
      <w:r w:rsidR="001A51CE">
        <w:rPr>
          <w:rFonts w:ascii="仿宋_GB2312" w:eastAsia="仿宋_GB2312" w:hAnsiTheme="minorEastAsia" w:cs="Times New Roman" w:hint="eastAsia"/>
          <w:sz w:val="32"/>
          <w:szCs w:val="32"/>
          <w:u w:color="000000"/>
        </w:rPr>
        <w:t>1739.21</w:t>
      </w:r>
      <w:r w:rsidR="002F5BF5">
        <w:rPr>
          <w:rFonts w:ascii="仿宋_GB2312" w:eastAsia="仿宋_GB2312" w:hAnsiTheme="minorEastAsia" w:cs="Times New Roman" w:hint="eastAsia"/>
          <w:sz w:val="32"/>
          <w:szCs w:val="32"/>
          <w:u w:color="000000"/>
        </w:rPr>
        <w:t>万元，其中：基本支出</w:t>
      </w:r>
      <w:r w:rsidR="001A51CE">
        <w:rPr>
          <w:rFonts w:ascii="仿宋_GB2312" w:eastAsia="仿宋_GB2312" w:hAnsiTheme="minorEastAsia" w:cs="Times New Roman" w:hint="eastAsia"/>
          <w:sz w:val="32"/>
          <w:szCs w:val="32"/>
          <w:u w:color="000000"/>
        </w:rPr>
        <w:t>1034</w:t>
      </w:r>
      <w:r w:rsidR="00470C4A">
        <w:rPr>
          <w:rFonts w:ascii="仿宋_GB2312" w:eastAsia="仿宋_GB2312" w:hAnsiTheme="minorEastAsia" w:cs="Times New Roman" w:hint="eastAsia"/>
          <w:sz w:val="32"/>
          <w:szCs w:val="32"/>
          <w:u w:color="000000"/>
        </w:rPr>
        <w:t>.15</w:t>
      </w:r>
      <w:r w:rsidR="002F5BF5">
        <w:rPr>
          <w:rFonts w:ascii="仿宋_GB2312" w:eastAsia="仿宋_GB2312" w:hAnsiTheme="minorEastAsia" w:cs="Times New Roman" w:hint="eastAsia"/>
          <w:sz w:val="32"/>
          <w:szCs w:val="32"/>
          <w:u w:color="000000"/>
        </w:rPr>
        <w:t>万元，项目支出</w:t>
      </w:r>
      <w:r w:rsidR="001A51CE">
        <w:rPr>
          <w:rFonts w:ascii="仿宋_GB2312" w:eastAsia="仿宋_GB2312" w:hAnsiTheme="minorEastAsia" w:cs="Times New Roman" w:hint="eastAsia"/>
          <w:sz w:val="32"/>
          <w:szCs w:val="32"/>
          <w:u w:color="000000"/>
        </w:rPr>
        <w:t>705.06</w:t>
      </w:r>
      <w:r w:rsidR="002F5BF5">
        <w:rPr>
          <w:rFonts w:ascii="仿宋_GB2312" w:eastAsia="仿宋_GB2312" w:hAnsiTheme="minorEastAsia" w:cs="Times New Roman" w:hint="eastAsia"/>
          <w:sz w:val="32"/>
          <w:szCs w:val="32"/>
          <w:u w:color="000000"/>
        </w:rPr>
        <w:t>万元。决算支出按功能分类包含：</w:t>
      </w:r>
      <w:r w:rsidR="00470C4A">
        <w:rPr>
          <w:rFonts w:ascii="仿宋_GB2312" w:eastAsia="仿宋_GB2312" w:hAnsiTheme="minorEastAsia" w:cs="Times New Roman" w:hint="eastAsia"/>
          <w:sz w:val="32"/>
          <w:szCs w:val="32"/>
          <w:u w:color="000000"/>
        </w:rPr>
        <w:t>科学技术</w:t>
      </w:r>
      <w:r w:rsidR="002F5BF5">
        <w:rPr>
          <w:rFonts w:ascii="仿宋_GB2312" w:eastAsia="仿宋_GB2312" w:hAnsiTheme="minorEastAsia" w:cs="Times New Roman" w:hint="eastAsia"/>
          <w:sz w:val="32"/>
          <w:szCs w:val="32"/>
          <w:u w:color="000000"/>
        </w:rPr>
        <w:t>支出</w:t>
      </w:r>
      <w:r w:rsidR="00470C4A">
        <w:rPr>
          <w:rFonts w:ascii="仿宋_GB2312" w:eastAsia="仿宋_GB2312" w:hAnsiTheme="minorEastAsia" w:cs="Times New Roman" w:hint="eastAsia"/>
          <w:sz w:val="32"/>
          <w:szCs w:val="32"/>
          <w:u w:color="000000"/>
        </w:rPr>
        <w:t>537.68</w:t>
      </w:r>
      <w:r w:rsidR="002F5BF5">
        <w:rPr>
          <w:rFonts w:ascii="仿宋_GB2312" w:eastAsia="仿宋_GB2312" w:hAnsiTheme="minorEastAsia" w:cs="Times New Roman" w:hint="eastAsia"/>
          <w:sz w:val="32"/>
          <w:szCs w:val="32"/>
          <w:u w:color="000000"/>
        </w:rPr>
        <w:t>万元，占比</w:t>
      </w:r>
      <w:r w:rsidR="00470C4A">
        <w:rPr>
          <w:rFonts w:ascii="仿宋_GB2312" w:eastAsia="仿宋_GB2312" w:hAnsiTheme="minorEastAsia" w:cs="Times New Roman" w:hint="eastAsia"/>
          <w:sz w:val="32"/>
          <w:szCs w:val="32"/>
          <w:u w:color="000000"/>
        </w:rPr>
        <w:lastRenderedPageBreak/>
        <w:t>30.92</w:t>
      </w:r>
      <w:r w:rsidR="002F5BF5">
        <w:rPr>
          <w:rFonts w:ascii="仿宋_GB2312" w:eastAsia="仿宋_GB2312" w:hAnsiTheme="minorEastAsia" w:cs="Times New Roman" w:hint="eastAsia"/>
          <w:sz w:val="32"/>
          <w:szCs w:val="32"/>
          <w:u w:color="000000"/>
        </w:rPr>
        <w:t>%；社会保障和就业支出</w:t>
      </w:r>
      <w:r w:rsidR="00470C4A">
        <w:rPr>
          <w:rFonts w:ascii="仿宋_GB2312" w:eastAsia="仿宋_GB2312" w:hAnsiTheme="minorEastAsia" w:cs="Times New Roman" w:hint="eastAsia"/>
          <w:sz w:val="32"/>
          <w:szCs w:val="32"/>
          <w:u w:color="000000"/>
        </w:rPr>
        <w:t>490.45</w:t>
      </w:r>
      <w:r w:rsidR="002F5BF5">
        <w:rPr>
          <w:rFonts w:ascii="仿宋_GB2312" w:eastAsia="仿宋_GB2312" w:hAnsiTheme="minorEastAsia" w:cs="Times New Roman" w:hint="eastAsia"/>
          <w:sz w:val="32"/>
          <w:szCs w:val="32"/>
          <w:u w:color="000000"/>
        </w:rPr>
        <w:t>万元，占比</w:t>
      </w:r>
      <w:r w:rsidR="00470C4A">
        <w:rPr>
          <w:rFonts w:ascii="仿宋_GB2312" w:eastAsia="仿宋_GB2312" w:hAnsiTheme="minorEastAsia" w:cs="Times New Roman" w:hint="eastAsia"/>
          <w:sz w:val="32"/>
          <w:szCs w:val="32"/>
          <w:u w:color="000000"/>
        </w:rPr>
        <w:t>28.2</w:t>
      </w:r>
      <w:r w:rsidR="002F5BF5">
        <w:rPr>
          <w:rFonts w:ascii="仿宋_GB2312" w:eastAsia="仿宋_GB2312" w:hAnsiTheme="minorEastAsia" w:cs="Times New Roman" w:hint="eastAsia"/>
          <w:sz w:val="32"/>
          <w:szCs w:val="32"/>
          <w:u w:color="000000"/>
        </w:rPr>
        <w:t>%；医疗卫生与计划教育支出</w:t>
      </w:r>
      <w:r w:rsidR="00470C4A">
        <w:rPr>
          <w:rFonts w:ascii="仿宋_GB2312" w:eastAsia="仿宋_GB2312" w:hAnsiTheme="minorEastAsia" w:cs="Times New Roman" w:hint="eastAsia"/>
          <w:sz w:val="32"/>
          <w:szCs w:val="32"/>
          <w:u w:color="000000"/>
        </w:rPr>
        <w:t>37.71</w:t>
      </w:r>
      <w:r w:rsidR="002F5BF5">
        <w:rPr>
          <w:rFonts w:ascii="仿宋_GB2312" w:eastAsia="仿宋_GB2312" w:hAnsiTheme="minorEastAsia" w:cs="Times New Roman" w:hint="eastAsia"/>
          <w:sz w:val="32"/>
          <w:szCs w:val="32"/>
          <w:u w:color="000000"/>
        </w:rPr>
        <w:t>万元，占比</w:t>
      </w:r>
      <w:r w:rsidR="00470C4A">
        <w:rPr>
          <w:rFonts w:ascii="仿宋_GB2312" w:eastAsia="仿宋_GB2312" w:hAnsiTheme="minorEastAsia" w:cs="Times New Roman" w:hint="eastAsia"/>
          <w:sz w:val="32"/>
          <w:szCs w:val="32"/>
          <w:u w:color="000000"/>
        </w:rPr>
        <w:t>2.17</w:t>
      </w:r>
      <w:r w:rsidR="002F5BF5">
        <w:rPr>
          <w:rFonts w:ascii="仿宋_GB2312" w:eastAsia="仿宋_GB2312" w:hAnsiTheme="minorEastAsia" w:cs="Times New Roman" w:hint="eastAsia"/>
          <w:sz w:val="32"/>
          <w:szCs w:val="32"/>
          <w:u w:color="000000"/>
        </w:rPr>
        <w:t>%；</w:t>
      </w:r>
      <w:r w:rsidR="00470C4A">
        <w:rPr>
          <w:rFonts w:ascii="仿宋_GB2312" w:eastAsia="仿宋_GB2312" w:hAnsiTheme="minorEastAsia" w:cs="Times New Roman" w:hint="eastAsia"/>
          <w:sz w:val="32"/>
          <w:szCs w:val="32"/>
          <w:u w:color="000000"/>
        </w:rPr>
        <w:t>资源勘探信息等支出382.26万元，占比21.98%；商业服务业等支出225万元，占比12.94%；</w:t>
      </w:r>
      <w:r w:rsidR="002F5BF5">
        <w:rPr>
          <w:rFonts w:ascii="仿宋_GB2312" w:eastAsia="仿宋_GB2312" w:hAnsiTheme="minorEastAsia" w:cs="Times New Roman" w:hint="eastAsia"/>
          <w:sz w:val="32"/>
          <w:szCs w:val="32"/>
          <w:u w:color="000000"/>
        </w:rPr>
        <w:t>住房保障支出</w:t>
      </w:r>
      <w:r w:rsidR="00470C4A">
        <w:rPr>
          <w:rFonts w:ascii="仿宋_GB2312" w:eastAsia="仿宋_GB2312" w:hAnsiTheme="minorEastAsia" w:cs="Times New Roman" w:hint="eastAsia"/>
          <w:sz w:val="32"/>
          <w:szCs w:val="32"/>
          <w:u w:color="000000"/>
        </w:rPr>
        <w:t>36.1</w:t>
      </w:r>
      <w:r w:rsidR="009957C4">
        <w:rPr>
          <w:rFonts w:ascii="仿宋_GB2312" w:eastAsia="仿宋_GB2312" w:hAnsiTheme="minorEastAsia" w:cs="Times New Roman" w:hint="eastAsia"/>
          <w:sz w:val="32"/>
          <w:szCs w:val="32"/>
          <w:u w:color="000000"/>
        </w:rPr>
        <w:t>1</w:t>
      </w:r>
      <w:r w:rsidR="002F5BF5">
        <w:rPr>
          <w:rFonts w:ascii="仿宋_GB2312" w:eastAsia="仿宋_GB2312" w:hAnsiTheme="minorEastAsia" w:cs="Times New Roman" w:hint="eastAsia"/>
          <w:sz w:val="32"/>
          <w:szCs w:val="32"/>
          <w:u w:color="000000"/>
        </w:rPr>
        <w:t>万元，占比</w:t>
      </w:r>
      <w:r w:rsidR="00470C4A">
        <w:rPr>
          <w:rFonts w:ascii="仿宋_GB2312" w:eastAsia="仿宋_GB2312" w:hAnsiTheme="minorEastAsia" w:cs="Times New Roman" w:hint="eastAsia"/>
          <w:sz w:val="32"/>
          <w:szCs w:val="32"/>
          <w:u w:color="000000"/>
        </w:rPr>
        <w:t>2.08</w:t>
      </w:r>
      <w:r w:rsidR="002F5BF5">
        <w:rPr>
          <w:rFonts w:ascii="仿宋_GB2312" w:eastAsia="仿宋_GB2312" w:hAnsiTheme="minorEastAsia" w:cs="Times New Roman" w:hint="eastAsia"/>
          <w:sz w:val="32"/>
          <w:szCs w:val="32"/>
          <w:u w:color="000000"/>
        </w:rPr>
        <w:t>%</w:t>
      </w:r>
      <w:r w:rsidR="00470C4A">
        <w:rPr>
          <w:rFonts w:ascii="仿宋_GB2312" w:eastAsia="仿宋_GB2312" w:hAnsiTheme="minorEastAsia" w:cs="Times New Roman" w:hint="eastAsia"/>
          <w:sz w:val="32"/>
          <w:szCs w:val="32"/>
          <w:u w:color="000000"/>
        </w:rPr>
        <w:t>，其他支出（2018年新增规上企业奖励支出）30万元，占比1.72%</w:t>
      </w:r>
      <w:r w:rsidR="002F5BF5">
        <w:rPr>
          <w:rFonts w:ascii="仿宋_GB2312" w:eastAsia="仿宋_GB2312" w:hAnsiTheme="minorEastAsia" w:cs="Times New Roman" w:hint="eastAsia"/>
          <w:sz w:val="32"/>
          <w:szCs w:val="32"/>
          <w:u w:color="000000"/>
        </w:rPr>
        <w:t>。具体决算支出详见附件。</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852C43" w:rsidRDefault="002F5BF5">
      <w:pPr>
        <w:spacing w:after="0" w:line="360" w:lineRule="auto"/>
        <w:jc w:val="center"/>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 xml:space="preserve">图3  </w:t>
      </w:r>
      <w:r w:rsidR="00E00A5F">
        <w:rPr>
          <w:rFonts w:ascii="仿宋_GB2312" w:eastAsia="仿宋_GB2312" w:cs="DengXian-Regular" w:hint="eastAsia"/>
          <w:sz w:val="32"/>
          <w:szCs w:val="32"/>
        </w:rPr>
        <w:t>2019年度区</w:t>
      </w:r>
      <w:r w:rsidR="00470C4A">
        <w:rPr>
          <w:rFonts w:ascii="仿宋_GB2312" w:eastAsia="仿宋_GB2312" w:cs="DengXian-Regular" w:hint="eastAsia"/>
          <w:sz w:val="32"/>
          <w:szCs w:val="32"/>
        </w:rPr>
        <w:t>工信局</w:t>
      </w:r>
      <w:r>
        <w:rPr>
          <w:rFonts w:asciiTheme="minorEastAsia" w:eastAsiaTheme="minorEastAsia" w:hAnsiTheme="minorEastAsia" w:cstheme="minorEastAsia" w:hint="eastAsia"/>
          <w:b/>
          <w:bCs/>
          <w:sz w:val="32"/>
          <w:szCs w:val="32"/>
          <w:u w:color="000000"/>
        </w:rPr>
        <w:t>决算支出结构图</w:t>
      </w:r>
    </w:p>
    <w:p w:rsidR="008F09E2" w:rsidRDefault="00C55E20" w:rsidP="008F09E2">
      <w:pPr>
        <w:spacing w:after="0" w:line="360" w:lineRule="auto"/>
        <w:rPr>
          <w:rFonts w:ascii="仿宋_GB2312" w:eastAsia="仿宋_GB2312" w:hAnsiTheme="minorEastAsia" w:cs="Times New Roman"/>
          <w:sz w:val="32"/>
          <w:szCs w:val="32"/>
          <w:u w:color="000000"/>
        </w:rPr>
      </w:pPr>
      <w:r w:rsidRPr="00C55E20">
        <w:rPr>
          <w:rFonts w:ascii="仿宋_GB2312" w:eastAsia="仿宋_GB2312" w:hAnsiTheme="minorEastAsia" w:cs="Times New Roman"/>
          <w:noProof/>
          <w:sz w:val="32"/>
          <w:szCs w:val="32"/>
          <w:u w:color="000000"/>
        </w:rPr>
        <w:drawing>
          <wp:inline distT="0" distB="0" distL="0" distR="0">
            <wp:extent cx="4572000" cy="2743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2C43" w:rsidRDefault="002F5BF5" w:rsidP="00C55E20">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sidR="0018615D">
        <w:rPr>
          <w:rFonts w:ascii="仿宋_GB2312" w:eastAsia="仿宋_GB2312" w:cs="DengXian-Regular" w:hint="eastAsia"/>
          <w:sz w:val="32"/>
          <w:szCs w:val="32"/>
        </w:rPr>
        <w:t>1738.89</w:t>
      </w:r>
      <w:r>
        <w:rPr>
          <w:rFonts w:ascii="仿宋_GB2312" w:eastAsia="仿宋_GB2312" w:cs="DengXian-Regular" w:hint="eastAsia"/>
          <w:sz w:val="32"/>
          <w:szCs w:val="32"/>
        </w:rPr>
        <w:t>万元。决算支出完成年初预算的</w:t>
      </w:r>
      <w:r w:rsidR="0018615D">
        <w:rPr>
          <w:rFonts w:ascii="仿宋_GB2312" w:eastAsia="仿宋_GB2312" w:cs="DengXian-Regular" w:hint="eastAsia"/>
          <w:sz w:val="32"/>
          <w:szCs w:val="32"/>
        </w:rPr>
        <w:t>106.04</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18615D">
        <w:rPr>
          <w:rFonts w:ascii="仿宋_GB2312" w:eastAsia="仿宋_GB2312" w:cs="DengXian-Regular" w:hint="eastAsia"/>
          <w:sz w:val="32"/>
          <w:szCs w:val="32"/>
        </w:rPr>
        <w:t>上级追加的专项资金支出</w:t>
      </w:r>
      <w:r>
        <w:rPr>
          <w:rFonts w:ascii="仿宋" w:eastAsia="仿宋" w:hAnsi="仿宋" w:hint="eastAsia"/>
          <w:snapToGrid w:val="0"/>
          <w:sz w:val="32"/>
          <w:szCs w:val="32"/>
        </w:rPr>
        <w:t>。预算支出与决算支出对比情况如图4。</w:t>
      </w:r>
    </w:p>
    <w:p w:rsidR="001A51CE" w:rsidRDefault="002F5BF5">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图4  </w:t>
      </w:r>
      <w:r w:rsidR="00E00A5F" w:rsidRPr="0018615D">
        <w:rPr>
          <w:rFonts w:asciiTheme="minorEastAsia" w:eastAsiaTheme="minorEastAsia" w:hAnsiTheme="minorEastAsia" w:cs="DengXian-Regular" w:hint="eastAsia"/>
          <w:b/>
          <w:sz w:val="32"/>
          <w:szCs w:val="32"/>
        </w:rPr>
        <w:t>2019年度区</w:t>
      </w:r>
      <w:r w:rsidR="0018615D" w:rsidRPr="0018615D">
        <w:rPr>
          <w:rFonts w:asciiTheme="minorEastAsia" w:eastAsiaTheme="minorEastAsia" w:hAnsiTheme="minorEastAsia" w:cs="DengXian-Regular" w:hint="eastAsia"/>
          <w:b/>
          <w:sz w:val="32"/>
          <w:szCs w:val="32"/>
        </w:rPr>
        <w:t>工信局</w:t>
      </w:r>
      <w:r>
        <w:rPr>
          <w:rFonts w:asciiTheme="minorEastAsia" w:eastAsiaTheme="minorEastAsia" w:hAnsiTheme="minorEastAsia" w:cstheme="minorEastAsia" w:hint="eastAsia"/>
          <w:b/>
          <w:bCs/>
          <w:sz w:val="32"/>
          <w:szCs w:val="32"/>
        </w:rPr>
        <w:t>预算支出与决算支出对比</w:t>
      </w:r>
    </w:p>
    <w:p w:rsidR="001A51CE" w:rsidRPr="001A51CE" w:rsidRDefault="0018615D" w:rsidP="001A51CE">
      <w:pPr>
        <w:spacing w:after="0" w:line="360" w:lineRule="auto"/>
        <w:rPr>
          <w:rFonts w:asciiTheme="minorEastAsia" w:eastAsiaTheme="minorEastAsia" w:hAnsiTheme="minorEastAsia" w:cstheme="minorEastAsia"/>
          <w:b/>
          <w:bCs/>
          <w:sz w:val="32"/>
          <w:szCs w:val="32"/>
        </w:rPr>
      </w:pPr>
      <w:r w:rsidRPr="0018615D">
        <w:rPr>
          <w:rFonts w:asciiTheme="minorEastAsia" w:eastAsiaTheme="minorEastAsia" w:hAnsiTheme="minorEastAsia" w:cstheme="minorEastAsia"/>
          <w:b/>
          <w:bCs/>
          <w:noProof/>
          <w:sz w:val="32"/>
          <w:szCs w:val="32"/>
        </w:rPr>
        <w:lastRenderedPageBreak/>
        <w:drawing>
          <wp:inline distT="0" distB="0" distL="0" distR="0">
            <wp:extent cx="4975860" cy="2743200"/>
            <wp:effectExtent l="19050" t="0" r="1524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2C43" w:rsidRDefault="002F5BF5">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年区</w:t>
      </w:r>
      <w:r w:rsidR="0018615D">
        <w:rPr>
          <w:rFonts w:ascii="仿宋_GB2312" w:eastAsia="仿宋_GB2312" w:cs="DengXian-Regular" w:hint="eastAsia"/>
          <w:sz w:val="32"/>
          <w:szCs w:val="32"/>
        </w:rPr>
        <w:t>工信局</w:t>
      </w:r>
      <w:r>
        <w:rPr>
          <w:rFonts w:ascii="仿宋_GB2312" w:eastAsia="仿宋_GB2312" w:cs="DengXian-Regular" w:hint="eastAsia"/>
          <w:sz w:val="32"/>
          <w:szCs w:val="32"/>
        </w:rPr>
        <w:t>“三公”经费预算</w:t>
      </w:r>
      <w:r w:rsidR="0018615D">
        <w:rPr>
          <w:rFonts w:ascii="仿宋_GB2312" w:eastAsia="仿宋_GB2312" w:cs="DengXian-Regular" w:hint="eastAsia"/>
          <w:sz w:val="32"/>
          <w:szCs w:val="32"/>
        </w:rPr>
        <w:t>12.7</w:t>
      </w:r>
      <w:r>
        <w:rPr>
          <w:rFonts w:ascii="仿宋_GB2312" w:eastAsia="仿宋_GB2312" w:cs="DengXian-Regular" w:hint="eastAsia"/>
          <w:sz w:val="32"/>
          <w:szCs w:val="32"/>
        </w:rPr>
        <w:t>万元（公务用车运行维护费</w:t>
      </w:r>
      <w:r w:rsidR="0018615D">
        <w:rPr>
          <w:rFonts w:ascii="仿宋_GB2312" w:eastAsia="仿宋_GB2312" w:cs="DengXian-Regular" w:hint="eastAsia"/>
          <w:sz w:val="32"/>
          <w:szCs w:val="32"/>
        </w:rPr>
        <w:t>12</w:t>
      </w:r>
      <w:r>
        <w:rPr>
          <w:rFonts w:ascii="仿宋_GB2312" w:eastAsia="仿宋_GB2312" w:cs="DengXian-Regular" w:hint="eastAsia"/>
          <w:sz w:val="32"/>
          <w:szCs w:val="32"/>
        </w:rPr>
        <w:t>万元，公务接待费</w:t>
      </w:r>
      <w:r w:rsidR="0018615D">
        <w:rPr>
          <w:rFonts w:ascii="仿宋_GB2312" w:eastAsia="仿宋_GB2312" w:cs="DengXian-Regular" w:hint="eastAsia"/>
          <w:sz w:val="32"/>
          <w:szCs w:val="32"/>
        </w:rPr>
        <w:t>0.7</w:t>
      </w:r>
      <w:r>
        <w:rPr>
          <w:rFonts w:ascii="仿宋_GB2312" w:eastAsia="仿宋_GB2312" w:cs="DengXian-Regular" w:hint="eastAsia"/>
          <w:sz w:val="32"/>
          <w:szCs w:val="32"/>
        </w:rPr>
        <w:t>万元），实际支出</w:t>
      </w:r>
      <w:r w:rsidR="0018615D">
        <w:rPr>
          <w:rFonts w:ascii="仿宋_GB2312" w:eastAsia="仿宋_GB2312" w:cs="DengXian-Regular" w:hint="eastAsia"/>
          <w:sz w:val="32"/>
          <w:szCs w:val="32"/>
        </w:rPr>
        <w:t>4.37</w:t>
      </w:r>
      <w:r>
        <w:rPr>
          <w:rFonts w:ascii="仿宋_GB2312" w:eastAsia="仿宋_GB2312" w:cs="DengXian-Regular" w:hint="eastAsia"/>
          <w:sz w:val="32"/>
          <w:szCs w:val="32"/>
        </w:rPr>
        <w:t>万元（公务用车运行维护费</w:t>
      </w:r>
      <w:r w:rsidR="0018615D">
        <w:rPr>
          <w:rFonts w:ascii="仿宋_GB2312" w:eastAsia="仿宋_GB2312" w:cs="DengXian-Regular" w:hint="eastAsia"/>
          <w:sz w:val="32"/>
          <w:szCs w:val="32"/>
        </w:rPr>
        <w:t>4.37</w:t>
      </w:r>
      <w:r>
        <w:rPr>
          <w:rFonts w:ascii="仿宋_GB2312" w:eastAsia="仿宋_GB2312" w:cs="DengXian-Regular" w:hint="eastAsia"/>
          <w:sz w:val="32"/>
          <w:szCs w:val="32"/>
        </w:rPr>
        <w:t>万元，公务接待费</w:t>
      </w:r>
      <w:r w:rsidR="0018615D">
        <w:rPr>
          <w:rFonts w:ascii="仿宋_GB2312" w:eastAsia="仿宋_GB2312" w:cs="DengXian-Regular" w:hint="eastAsia"/>
          <w:sz w:val="32"/>
          <w:szCs w:val="32"/>
        </w:rPr>
        <w:t>0</w:t>
      </w:r>
      <w:r>
        <w:rPr>
          <w:rFonts w:ascii="仿宋_GB2312" w:eastAsia="仿宋_GB2312" w:cs="DengXian-Regular" w:hint="eastAsia"/>
          <w:sz w:val="32"/>
          <w:szCs w:val="32"/>
        </w:rPr>
        <w:t>万元），比预算减少</w:t>
      </w:r>
      <w:r w:rsidR="0018615D">
        <w:rPr>
          <w:rFonts w:ascii="仿宋_GB2312" w:eastAsia="仿宋_GB2312" w:cs="DengXian-Regular" w:hint="eastAsia"/>
          <w:sz w:val="32"/>
          <w:szCs w:val="32"/>
        </w:rPr>
        <w:t>8.33</w:t>
      </w:r>
      <w:r>
        <w:rPr>
          <w:rFonts w:ascii="仿宋_GB2312" w:eastAsia="仿宋_GB2312" w:cs="DengXian-Regular" w:hint="eastAsia"/>
          <w:sz w:val="32"/>
          <w:szCs w:val="32"/>
        </w:rPr>
        <w:t>万元，节约率</w:t>
      </w:r>
      <w:r w:rsidR="0018615D">
        <w:rPr>
          <w:rFonts w:ascii="仿宋_GB2312" w:eastAsia="仿宋_GB2312" w:cs="DengXian-Regular" w:hint="eastAsia"/>
          <w:sz w:val="32"/>
          <w:szCs w:val="32"/>
        </w:rPr>
        <w:t>65.59</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年预算数相比无变化，决算数与201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9B101F">
        <w:rPr>
          <w:rFonts w:ascii="仿宋_GB2312" w:eastAsia="仿宋_GB2312" w:cs="DengXian-Regular" w:hint="eastAsia"/>
          <w:sz w:val="32"/>
          <w:szCs w:val="32"/>
        </w:rPr>
        <w:t>增加0.42</w:t>
      </w:r>
      <w:r>
        <w:rPr>
          <w:rFonts w:ascii="仿宋_GB2312" w:eastAsia="仿宋_GB2312" w:cs="DengXian-Regular" w:hint="eastAsia"/>
          <w:sz w:val="32"/>
          <w:szCs w:val="32"/>
        </w:rPr>
        <w:t>万元。具体详见表1。</w:t>
      </w: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F65350" w:rsidRPr="009B101F">
        <w:rPr>
          <w:rFonts w:asciiTheme="minorEastAsia" w:eastAsiaTheme="minorEastAsia" w:hAnsiTheme="minorEastAsia" w:cs="DengXian-Regular" w:hint="eastAsia"/>
          <w:b/>
          <w:sz w:val="32"/>
          <w:szCs w:val="32"/>
        </w:rPr>
        <w:t>区</w:t>
      </w:r>
      <w:r w:rsidR="009B101F" w:rsidRPr="009B101F">
        <w:rPr>
          <w:rFonts w:asciiTheme="minorEastAsia" w:eastAsiaTheme="minorEastAsia" w:hAnsiTheme="minorEastAsia" w:cs="DengXian-Regular" w:hint="eastAsia"/>
          <w:b/>
          <w:sz w:val="32"/>
          <w:szCs w:val="32"/>
        </w:rPr>
        <w:t>工信局</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bookmarkStart w:id="16" w:name="_GoBack"/>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3.86</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4.37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rsidP="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增支0.51</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0.7</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rsidP="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减支0.09</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12.7</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3.95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12.7</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4.37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9B101F" w:rsidP="009B101F">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增支0.42</w:t>
            </w:r>
          </w:p>
        </w:tc>
      </w:tr>
    </w:tbl>
    <w:bookmarkEnd w:id="16"/>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F65350">
        <w:rPr>
          <w:rFonts w:ascii="仿宋_GB2312" w:eastAsia="仿宋_GB2312" w:cs="DengXian-Regular" w:hint="eastAsia"/>
          <w:sz w:val="32"/>
          <w:szCs w:val="32"/>
        </w:rPr>
        <w:t>区</w:t>
      </w:r>
      <w:r w:rsidR="009B101F">
        <w:rPr>
          <w:rFonts w:ascii="仿宋_GB2312" w:eastAsia="仿宋_GB2312" w:cs="DengXian-Regular" w:hint="eastAsia"/>
          <w:sz w:val="32"/>
          <w:szCs w:val="32"/>
        </w:rPr>
        <w:t>工信局</w:t>
      </w:r>
      <w:r w:rsidR="00F65350">
        <w:rPr>
          <w:rFonts w:ascii="仿宋_GB2312" w:eastAsia="仿宋_GB2312" w:cs="DengXian-Regular" w:hint="eastAsia"/>
          <w:sz w:val="32"/>
          <w:szCs w:val="32"/>
        </w:rPr>
        <w:t>单位</w:t>
      </w:r>
      <w:r>
        <w:rPr>
          <w:rFonts w:ascii="仿宋_GB2312" w:eastAsia="仿宋_GB2312" w:cs="DengXian-Regular" w:hint="eastAsia"/>
          <w:sz w:val="32"/>
          <w:szCs w:val="32"/>
        </w:rPr>
        <w:t>车辆合计</w:t>
      </w:r>
      <w:r w:rsidR="009B101F">
        <w:rPr>
          <w:rFonts w:ascii="仿宋_GB2312" w:eastAsia="仿宋_GB2312" w:cs="DengXian-Regular" w:hint="eastAsia"/>
          <w:sz w:val="32"/>
          <w:szCs w:val="32"/>
        </w:rPr>
        <w:t>4</w:t>
      </w:r>
      <w:r>
        <w:rPr>
          <w:rFonts w:ascii="仿宋_GB2312" w:eastAsia="仿宋_GB2312" w:cs="DengXian-Regular" w:hint="eastAsia"/>
          <w:sz w:val="32"/>
          <w:szCs w:val="32"/>
        </w:rPr>
        <w:t>辆，其中</w:t>
      </w:r>
      <w:r w:rsidR="009B101F">
        <w:rPr>
          <w:rFonts w:ascii="仿宋_GB2312" w:eastAsia="仿宋_GB2312" w:cs="DengXian-Regular" w:hint="eastAsia"/>
          <w:sz w:val="32"/>
          <w:szCs w:val="32"/>
        </w:rPr>
        <w:t>机要通信</w:t>
      </w:r>
      <w:r>
        <w:rPr>
          <w:rFonts w:ascii="仿宋_GB2312" w:eastAsia="仿宋_GB2312" w:cs="DengXian-Regular" w:hint="eastAsia"/>
          <w:sz w:val="32"/>
          <w:szCs w:val="32"/>
        </w:rPr>
        <w:t>用车</w:t>
      </w:r>
      <w:r w:rsidR="009B101F">
        <w:rPr>
          <w:rFonts w:ascii="仿宋_GB2312" w:eastAsia="仿宋_GB2312" w:cs="DengXian-Regular" w:hint="eastAsia"/>
          <w:sz w:val="32"/>
          <w:szCs w:val="32"/>
        </w:rPr>
        <w:t>2</w:t>
      </w:r>
      <w:r>
        <w:rPr>
          <w:rFonts w:ascii="仿宋_GB2312" w:eastAsia="仿宋_GB2312" w:cs="DengXian-Regular" w:hint="eastAsia"/>
          <w:sz w:val="32"/>
          <w:szCs w:val="32"/>
        </w:rPr>
        <w:t>辆，</w:t>
      </w:r>
      <w:r w:rsidR="009B101F">
        <w:rPr>
          <w:rFonts w:ascii="仿宋_GB2312" w:eastAsia="仿宋_GB2312" w:cs="DengXian-Regular" w:hint="eastAsia"/>
          <w:sz w:val="32"/>
          <w:szCs w:val="32"/>
        </w:rPr>
        <w:t>执法执勤用车2辆，</w:t>
      </w:r>
      <w:r>
        <w:rPr>
          <w:rFonts w:ascii="仿宋_GB2312" w:eastAsia="仿宋_GB2312" w:cs="DengXian-Regular" w:hint="eastAsia"/>
          <w:sz w:val="32"/>
          <w:szCs w:val="32"/>
        </w:rPr>
        <w:t>其他用车</w:t>
      </w:r>
      <w:r w:rsidR="009B101F">
        <w:rPr>
          <w:rFonts w:ascii="仿宋_GB2312" w:eastAsia="仿宋_GB2312" w:cs="DengXian-Regular" w:hint="eastAsia"/>
          <w:sz w:val="32"/>
          <w:szCs w:val="32"/>
        </w:rPr>
        <w:t>0</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9B101F">
        <w:rPr>
          <w:rFonts w:ascii="仿宋_GB2312" w:eastAsia="仿宋_GB2312" w:cs="DengXian-Regular" w:hint="eastAsia"/>
          <w:sz w:val="32"/>
          <w:szCs w:val="32"/>
        </w:rPr>
        <w:t>12</w:t>
      </w:r>
      <w:r>
        <w:rPr>
          <w:rFonts w:ascii="仿宋_GB2312" w:eastAsia="仿宋_GB2312" w:cs="DengXian-Regular" w:hint="eastAsia"/>
          <w:sz w:val="32"/>
          <w:szCs w:val="32"/>
        </w:rPr>
        <w:t>万元，全部为公务用车运行维护费，实际支出</w:t>
      </w:r>
      <w:r w:rsidR="009B101F">
        <w:rPr>
          <w:rFonts w:ascii="仿宋_GB2312" w:eastAsia="仿宋_GB2312" w:cs="DengXian-Regular" w:hint="eastAsia"/>
          <w:sz w:val="32"/>
          <w:szCs w:val="32"/>
        </w:rPr>
        <w:t>4.37</w:t>
      </w:r>
      <w:r>
        <w:rPr>
          <w:rFonts w:ascii="仿宋_GB2312" w:eastAsia="仿宋_GB2312" w:cs="DengXian-Regular" w:hint="eastAsia"/>
          <w:sz w:val="32"/>
          <w:szCs w:val="32"/>
        </w:rPr>
        <w:t>万元，比预算减少</w:t>
      </w:r>
      <w:r w:rsidR="009B101F">
        <w:rPr>
          <w:rFonts w:ascii="仿宋_GB2312" w:eastAsia="仿宋_GB2312" w:cs="DengXian-Regular" w:hint="eastAsia"/>
          <w:sz w:val="32"/>
          <w:szCs w:val="32"/>
        </w:rPr>
        <w:t>7.63</w:t>
      </w:r>
      <w:r>
        <w:rPr>
          <w:rFonts w:ascii="仿宋_GB2312" w:eastAsia="仿宋_GB2312" w:cs="DengXian-Regular" w:hint="eastAsia"/>
          <w:sz w:val="32"/>
          <w:szCs w:val="32"/>
        </w:rPr>
        <w:t>万元，节约率</w:t>
      </w:r>
      <w:r w:rsidR="009B101F">
        <w:rPr>
          <w:rFonts w:ascii="仿宋_GB2312" w:eastAsia="仿宋_GB2312" w:cs="DengXian-Regular" w:hint="eastAsia"/>
          <w:sz w:val="32"/>
          <w:szCs w:val="32"/>
        </w:rPr>
        <w:t>63.58</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9B101F">
        <w:rPr>
          <w:rFonts w:ascii="仿宋_GB2312" w:eastAsia="仿宋_GB2312" w:cs="DengXian-Regular" w:hint="eastAsia"/>
          <w:sz w:val="32"/>
          <w:szCs w:val="32"/>
        </w:rPr>
        <w:t>增加0.42</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年区</w:t>
      </w:r>
      <w:r w:rsidR="009B101F">
        <w:rPr>
          <w:rFonts w:ascii="仿宋_GB2312" w:eastAsia="仿宋_GB2312" w:cs="DengXian-Regular" w:hint="eastAsia"/>
          <w:sz w:val="32"/>
          <w:szCs w:val="32"/>
        </w:rPr>
        <w:t>工信局</w:t>
      </w:r>
      <w:r w:rsidR="00F65350">
        <w:rPr>
          <w:rFonts w:ascii="仿宋_GB2312" w:eastAsia="仿宋_GB2312" w:cs="DengXian-Regular" w:hint="eastAsia"/>
          <w:sz w:val="32"/>
          <w:szCs w:val="32"/>
        </w:rPr>
        <w:t>单位</w:t>
      </w:r>
      <w:r>
        <w:rPr>
          <w:rFonts w:ascii="仿宋_GB2312" w:eastAsia="仿宋_GB2312" w:cs="DengXian-Regular" w:hint="eastAsia"/>
          <w:sz w:val="32"/>
          <w:szCs w:val="32"/>
        </w:rPr>
        <w:t>公务接待费年初预算</w:t>
      </w:r>
      <w:r w:rsidR="009B101F">
        <w:rPr>
          <w:rFonts w:ascii="仿宋_GB2312" w:eastAsia="仿宋_GB2312" w:cs="DengXian-Regular" w:hint="eastAsia"/>
          <w:sz w:val="32"/>
          <w:szCs w:val="32"/>
        </w:rPr>
        <w:t>0.7</w:t>
      </w:r>
      <w:r>
        <w:rPr>
          <w:rFonts w:ascii="仿宋_GB2312" w:eastAsia="仿宋_GB2312" w:cs="DengXian-Regular" w:hint="eastAsia"/>
          <w:sz w:val="32"/>
          <w:szCs w:val="32"/>
        </w:rPr>
        <w:t>万元，实际支出</w:t>
      </w:r>
      <w:r w:rsidR="009B101F">
        <w:rPr>
          <w:rFonts w:ascii="仿宋_GB2312" w:eastAsia="仿宋_GB2312" w:cs="DengXian-Regular" w:hint="eastAsia"/>
          <w:sz w:val="32"/>
          <w:szCs w:val="32"/>
        </w:rPr>
        <w:t>0</w:t>
      </w:r>
      <w:r>
        <w:rPr>
          <w:rFonts w:ascii="仿宋_GB2312" w:eastAsia="仿宋_GB2312" w:cs="DengXian-Regular" w:hint="eastAsia"/>
          <w:sz w:val="32"/>
          <w:szCs w:val="32"/>
        </w:rPr>
        <w:t>万元，比预算减少了</w:t>
      </w:r>
      <w:r w:rsidR="009B101F">
        <w:rPr>
          <w:rFonts w:ascii="仿宋_GB2312" w:eastAsia="仿宋_GB2312" w:cs="DengXian-Regular" w:hint="eastAsia"/>
          <w:sz w:val="32"/>
          <w:szCs w:val="32"/>
        </w:rPr>
        <w:t>0.7</w:t>
      </w:r>
      <w:r>
        <w:rPr>
          <w:rFonts w:ascii="仿宋_GB2312" w:eastAsia="仿宋_GB2312" w:cs="DengXian-Regular" w:hint="eastAsia"/>
          <w:sz w:val="32"/>
          <w:szCs w:val="32"/>
        </w:rPr>
        <w:t>万元，节约率</w:t>
      </w:r>
      <w:r w:rsidR="009B101F">
        <w:rPr>
          <w:rFonts w:ascii="仿宋_GB2312" w:eastAsia="仿宋_GB2312" w:cs="DengXian-Regular" w:hint="eastAsia"/>
          <w:sz w:val="32"/>
          <w:szCs w:val="32"/>
        </w:rPr>
        <w:t>100</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9B101F">
        <w:rPr>
          <w:rFonts w:ascii="仿宋_GB2312" w:eastAsia="仿宋_GB2312" w:cs="DengXian-Regular" w:hint="eastAsia"/>
          <w:sz w:val="32"/>
          <w:szCs w:val="32"/>
        </w:rPr>
        <w:t>减少支出0.09</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7" w:name="_Toc492652770"/>
      <w:bookmarkStart w:id="18" w:name="_Toc20454"/>
      <w:bookmarkStart w:id="19" w:name="_Toc465149504"/>
      <w:r>
        <w:rPr>
          <w:rFonts w:ascii="黑体" w:hint="eastAsia"/>
        </w:rPr>
        <w:t>二、部门整体支出绩效评价指标体系设定情况</w:t>
      </w:r>
      <w:bookmarkEnd w:id="17"/>
      <w:bookmarkEnd w:id="18"/>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根据绩效预算管理改革的有关政策和文件规定，以绩效</w:t>
      </w:r>
      <w:r w:rsidR="0090343B">
        <w:rPr>
          <w:rFonts w:ascii="仿宋_GB2312" w:eastAsia="仿宋_GB2312" w:cs="DengXian-Regular" w:hint="eastAsia"/>
          <w:sz w:val="32"/>
          <w:szCs w:val="32"/>
        </w:rPr>
        <w:t>评价指标体系框架</w:t>
      </w:r>
      <w:r>
        <w:rPr>
          <w:rFonts w:ascii="仿宋_GB2312" w:eastAsia="仿宋_GB2312" w:cs="DengXian-Regular" w:hint="eastAsia"/>
          <w:sz w:val="32"/>
          <w:szCs w:val="32"/>
        </w:rPr>
        <w:t>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部门整体支出绩效评价指标体系设置一级指标4个，二级指标7个，三级指标27个（详见</w:t>
      </w:r>
      <w:r w:rsidR="0090343B">
        <w:rPr>
          <w:rFonts w:ascii="仿宋_GB2312" w:eastAsia="仿宋_GB2312" w:cs="DengXian-Regular" w:hint="eastAsia"/>
          <w:sz w:val="32"/>
          <w:szCs w:val="32"/>
        </w:rPr>
        <w:t>工信局部门整体支出绩效评价体系</w:t>
      </w:r>
      <w:r>
        <w:rPr>
          <w:rFonts w:ascii="仿宋_GB2312" w:eastAsia="仿宋_GB2312" w:cs="DengXian-Regular" w:hint="eastAsia"/>
          <w:sz w:val="32"/>
          <w:szCs w:val="32"/>
        </w:rPr>
        <w:t>）。指标体系设定满分100分，绩效评价分值≥90为“优”；80≤分值＜90为“良”；60≤分值＜80为“中”；60分以下为“差”。评价指标体系具体构成如下：</w:t>
      </w:r>
      <w:bookmarkStart w:id="20" w:name="_Toc492652771"/>
      <w:bookmarkStart w:id="21" w:name="_Toc9569"/>
    </w:p>
    <w:p w:rsidR="00852C43" w:rsidRDefault="002F5BF5" w:rsidP="00C3172B">
      <w:pPr>
        <w:spacing w:after="0" w:line="360" w:lineRule="auto"/>
        <w:ind w:firstLineChars="200" w:firstLine="640"/>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w:t>
      </w:r>
      <w:r w:rsidR="00A617CD">
        <w:rPr>
          <w:rFonts w:ascii="楷体_GB2312" w:eastAsia="楷体_GB2312" w:hAnsiTheme="minorEastAsia" w:cs="Times New Roman" w:hint="eastAsia"/>
          <w:b/>
          <w:bCs/>
          <w:kern w:val="2"/>
          <w:sz w:val="32"/>
          <w:szCs w:val="32"/>
          <w:u w:color="000000"/>
        </w:rPr>
        <w:t>8</w:t>
      </w:r>
      <w:r>
        <w:rPr>
          <w:rFonts w:ascii="楷体_GB2312" w:eastAsia="楷体_GB2312" w:hAnsiTheme="minorEastAsia" w:cs="Times New Roman" w:hint="eastAsia"/>
          <w:b/>
          <w:bCs/>
          <w:kern w:val="2"/>
          <w:sz w:val="32"/>
          <w:szCs w:val="32"/>
          <w:u w:color="000000"/>
        </w:rPr>
        <w:t>分）</w:t>
      </w:r>
      <w:bookmarkEnd w:id="20"/>
      <w:bookmarkEnd w:id="21"/>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w:t>
      </w:r>
      <w:r w:rsidR="0090343B">
        <w:rPr>
          <w:rFonts w:ascii="仿宋_GB2312" w:eastAsia="仿宋_GB2312" w:cs="DengXian-Regular" w:hint="eastAsia"/>
          <w:sz w:val="32"/>
          <w:szCs w:val="32"/>
        </w:rPr>
        <w:t>18</w:t>
      </w:r>
      <w:r>
        <w:rPr>
          <w:rFonts w:ascii="仿宋_GB2312" w:eastAsia="仿宋_GB2312" w:cs="DengXian-Regular" w:hint="eastAsia"/>
          <w:sz w:val="32"/>
          <w:szCs w:val="32"/>
        </w:rPr>
        <w:t>分，下设2个二级指标：绩效目标设定和预算配置，</w:t>
      </w:r>
      <w:r w:rsidR="0090343B">
        <w:rPr>
          <w:rFonts w:ascii="仿宋_GB2312" w:eastAsia="仿宋_GB2312" w:cs="DengXian-Regular" w:hint="eastAsia"/>
          <w:sz w:val="32"/>
          <w:szCs w:val="32"/>
        </w:rPr>
        <w:t>5</w:t>
      </w:r>
      <w:r>
        <w:rPr>
          <w:rFonts w:ascii="仿宋_GB2312" w:eastAsia="仿宋_GB2312" w:cs="DengXian-Regular" w:hint="eastAsia"/>
          <w:sz w:val="32"/>
          <w:szCs w:val="32"/>
        </w:rPr>
        <w:t>个三级指标：绩效目标合理性、绩效指标明确性、在职人员控制率</w:t>
      </w:r>
      <w:r w:rsidR="00532838">
        <w:rPr>
          <w:rFonts w:ascii="仿宋_GB2312" w:eastAsia="仿宋_GB2312" w:cs="DengXian-Regular" w:hint="eastAsia"/>
          <w:sz w:val="32"/>
          <w:szCs w:val="32"/>
        </w:rPr>
        <w:t>、“三公”经费变动率、重点支出安排率</w:t>
      </w:r>
      <w:r>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楷体" w:eastAsia="楷体" w:hAnsi="楷体"/>
          <w:sz w:val="32"/>
        </w:rPr>
      </w:pPr>
      <w:bookmarkStart w:id="22" w:name="_Toc492652772"/>
      <w:bookmarkStart w:id="23" w:name="_Toc30221"/>
      <w:r>
        <w:rPr>
          <w:rFonts w:ascii="楷体" w:eastAsia="楷体" w:hAnsi="楷体" w:hint="eastAsia"/>
          <w:kern w:val="2"/>
          <w:sz w:val="32"/>
        </w:rPr>
        <w:t>（二）过程（</w:t>
      </w:r>
      <w:r w:rsidR="00A617CD">
        <w:rPr>
          <w:rFonts w:ascii="楷体" w:eastAsia="楷体" w:hAnsi="楷体" w:hint="eastAsia"/>
          <w:kern w:val="2"/>
          <w:sz w:val="32"/>
        </w:rPr>
        <w:t>46</w:t>
      </w:r>
      <w:r>
        <w:rPr>
          <w:rFonts w:ascii="楷体" w:eastAsia="楷体" w:hAnsi="楷体" w:hint="eastAsia"/>
          <w:kern w:val="2"/>
          <w:sz w:val="32"/>
        </w:rPr>
        <w:t>分）</w:t>
      </w:r>
      <w:bookmarkEnd w:id="22"/>
      <w:bookmarkEnd w:id="2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w:t>
      </w:r>
      <w:r w:rsidR="00532838">
        <w:rPr>
          <w:rFonts w:ascii="仿宋_GB2312" w:eastAsia="仿宋_GB2312" w:cs="DengXian-Regular" w:hint="eastAsia"/>
          <w:sz w:val="32"/>
          <w:szCs w:val="32"/>
        </w:rPr>
        <w:t>36</w:t>
      </w:r>
      <w:r>
        <w:rPr>
          <w:rFonts w:ascii="仿宋_GB2312" w:eastAsia="仿宋_GB2312" w:cs="DengXian-Regular" w:hint="eastAsia"/>
          <w:sz w:val="32"/>
          <w:szCs w:val="32"/>
        </w:rPr>
        <w:t>分，下设</w:t>
      </w:r>
      <w:r w:rsidR="00532838">
        <w:rPr>
          <w:rFonts w:ascii="仿宋_GB2312" w:eastAsia="仿宋_GB2312" w:cs="DengXian-Regular" w:hint="eastAsia"/>
          <w:sz w:val="32"/>
          <w:szCs w:val="32"/>
        </w:rPr>
        <w:t>2</w:t>
      </w:r>
      <w:r>
        <w:rPr>
          <w:rFonts w:ascii="仿宋_GB2312" w:eastAsia="仿宋_GB2312" w:cs="DengXian-Regular" w:hint="eastAsia"/>
          <w:sz w:val="32"/>
          <w:szCs w:val="32"/>
        </w:rPr>
        <w:t>个二级指标：预算执行</w:t>
      </w:r>
      <w:r w:rsidR="00532838">
        <w:rPr>
          <w:rFonts w:ascii="仿宋_GB2312" w:eastAsia="仿宋_GB2312" w:cs="DengXian-Regular" w:hint="eastAsia"/>
          <w:sz w:val="32"/>
          <w:szCs w:val="32"/>
        </w:rPr>
        <w:t>和</w:t>
      </w:r>
      <w:r>
        <w:rPr>
          <w:rFonts w:ascii="仿宋_GB2312" w:eastAsia="仿宋_GB2312" w:cs="DengXian-Regular" w:hint="eastAsia"/>
          <w:sz w:val="32"/>
          <w:szCs w:val="32"/>
        </w:rPr>
        <w:t>预算管理，</w:t>
      </w:r>
      <w:r w:rsidR="00532838">
        <w:rPr>
          <w:rFonts w:ascii="仿宋_GB2312" w:eastAsia="仿宋_GB2312" w:cs="DengXian-Regular" w:hint="eastAsia"/>
          <w:sz w:val="32"/>
          <w:szCs w:val="32"/>
        </w:rPr>
        <w:t>1</w:t>
      </w:r>
      <w:r w:rsidR="00A617CD">
        <w:rPr>
          <w:rFonts w:ascii="仿宋_GB2312" w:eastAsia="仿宋_GB2312" w:cs="DengXian-Regular" w:hint="eastAsia"/>
          <w:sz w:val="32"/>
          <w:szCs w:val="32"/>
        </w:rPr>
        <w:t>5</w:t>
      </w:r>
      <w:r>
        <w:rPr>
          <w:rFonts w:ascii="仿宋_GB2312" w:eastAsia="仿宋_GB2312" w:cs="DengXian-Regular" w:hint="eastAsia"/>
          <w:sz w:val="32"/>
          <w:szCs w:val="32"/>
        </w:rPr>
        <w:t>个三级指标：预算调整率、</w:t>
      </w:r>
      <w:r w:rsidR="00532838">
        <w:rPr>
          <w:rFonts w:ascii="仿宋_GB2312" w:eastAsia="仿宋_GB2312" w:cs="DengXian-Regular" w:hint="eastAsia"/>
          <w:sz w:val="32"/>
          <w:szCs w:val="32"/>
        </w:rPr>
        <w:t>支付进度</w:t>
      </w:r>
      <w:r>
        <w:rPr>
          <w:rFonts w:ascii="仿宋_GB2312" w:eastAsia="仿宋_GB2312" w:cs="DengXian-Regular" w:hint="eastAsia"/>
          <w:sz w:val="32"/>
          <w:szCs w:val="32"/>
        </w:rPr>
        <w:t>率、预算</w:t>
      </w:r>
      <w:r w:rsidR="00532838">
        <w:rPr>
          <w:rFonts w:ascii="仿宋_GB2312" w:eastAsia="仿宋_GB2312" w:cs="DengXian-Regular" w:hint="eastAsia"/>
          <w:sz w:val="32"/>
          <w:szCs w:val="32"/>
        </w:rPr>
        <w:t>完成</w:t>
      </w:r>
      <w:r>
        <w:rPr>
          <w:rFonts w:ascii="仿宋_GB2312" w:eastAsia="仿宋_GB2312" w:cs="DengXian-Regular" w:hint="eastAsia"/>
          <w:sz w:val="32"/>
          <w:szCs w:val="32"/>
        </w:rPr>
        <w:t>率、</w:t>
      </w:r>
      <w:r w:rsidR="00532838">
        <w:rPr>
          <w:rFonts w:ascii="仿宋_GB2312" w:eastAsia="仿宋_GB2312" w:cs="DengXian-Regular" w:hint="eastAsia"/>
          <w:sz w:val="32"/>
          <w:szCs w:val="32"/>
        </w:rPr>
        <w:t>结转结余</w:t>
      </w:r>
      <w:r>
        <w:rPr>
          <w:rFonts w:ascii="仿宋_GB2312" w:eastAsia="仿宋_GB2312" w:cs="DengXian-Regular" w:hint="eastAsia"/>
          <w:sz w:val="32"/>
          <w:szCs w:val="32"/>
        </w:rPr>
        <w:t>率、</w:t>
      </w:r>
      <w:r w:rsidR="00532838">
        <w:rPr>
          <w:rFonts w:ascii="仿宋_GB2312" w:eastAsia="仿宋_GB2312" w:cs="DengXian-Regular" w:hint="eastAsia"/>
          <w:sz w:val="32"/>
          <w:szCs w:val="32"/>
        </w:rPr>
        <w:t>结转结余变动率、公用经费控制率、</w:t>
      </w:r>
      <w:r>
        <w:rPr>
          <w:rFonts w:ascii="仿宋_GB2312" w:eastAsia="仿宋_GB2312" w:cs="DengXian-Regular" w:hint="eastAsia"/>
          <w:sz w:val="32"/>
          <w:szCs w:val="32"/>
        </w:rPr>
        <w:t>“三公”经费控制率、政府采购执行率、</w:t>
      </w:r>
      <w:r w:rsidR="00532838">
        <w:rPr>
          <w:rFonts w:ascii="仿宋_GB2312" w:eastAsia="仿宋_GB2312" w:cs="DengXian-Regular" w:hint="eastAsia"/>
          <w:sz w:val="32"/>
          <w:szCs w:val="32"/>
        </w:rPr>
        <w:t>管理制度健全性、</w:t>
      </w:r>
      <w:r>
        <w:rPr>
          <w:rFonts w:ascii="仿宋_GB2312" w:eastAsia="仿宋_GB2312" w:cs="DengXian-Regular" w:hint="eastAsia"/>
          <w:sz w:val="32"/>
          <w:szCs w:val="32"/>
        </w:rPr>
        <w:t>资金使用合规性、</w:t>
      </w:r>
      <w:r w:rsidR="00532838">
        <w:rPr>
          <w:rFonts w:ascii="仿宋_GB2312" w:eastAsia="仿宋_GB2312" w:cs="DengXian-Regular" w:hint="eastAsia"/>
          <w:sz w:val="32"/>
          <w:szCs w:val="32"/>
        </w:rPr>
        <w:t>预算决算信息公开</w:t>
      </w:r>
      <w:r>
        <w:rPr>
          <w:rFonts w:ascii="仿宋_GB2312" w:eastAsia="仿宋_GB2312" w:cs="DengXian-Regular" w:hint="eastAsia"/>
          <w:sz w:val="32"/>
          <w:szCs w:val="32"/>
        </w:rPr>
        <w:t>性、基础信息完整性、</w:t>
      </w:r>
      <w:r w:rsidR="00A617CD">
        <w:rPr>
          <w:rFonts w:ascii="仿宋_GB2312" w:eastAsia="仿宋_GB2312" w:cs="DengXian-Regular" w:hint="eastAsia"/>
          <w:sz w:val="32"/>
          <w:szCs w:val="32"/>
        </w:rPr>
        <w:t>管理制度健全性、</w:t>
      </w:r>
      <w:r>
        <w:rPr>
          <w:rFonts w:ascii="仿宋_GB2312" w:eastAsia="仿宋_GB2312" w:cs="DengXian-Regular" w:hint="eastAsia"/>
          <w:sz w:val="32"/>
          <w:szCs w:val="32"/>
        </w:rPr>
        <w:t>资产管理</w:t>
      </w:r>
      <w:r w:rsidR="00A617CD">
        <w:rPr>
          <w:rFonts w:ascii="仿宋_GB2312" w:eastAsia="仿宋_GB2312" w:cs="DengXian-Regular" w:hint="eastAsia"/>
          <w:sz w:val="32"/>
          <w:szCs w:val="32"/>
        </w:rPr>
        <w:t>安全</w:t>
      </w:r>
      <w:r>
        <w:rPr>
          <w:rFonts w:ascii="仿宋_GB2312" w:eastAsia="仿宋_GB2312" w:cs="DengXian-Regular" w:hint="eastAsia"/>
          <w:sz w:val="32"/>
          <w:szCs w:val="32"/>
        </w:rPr>
        <w:t>性、</w:t>
      </w:r>
      <w:r w:rsidR="00A617CD">
        <w:rPr>
          <w:rFonts w:ascii="仿宋_GB2312" w:eastAsia="仿宋_GB2312" w:cs="DengXian-Regular" w:hint="eastAsia"/>
          <w:sz w:val="32"/>
          <w:szCs w:val="32"/>
        </w:rPr>
        <w:t>固定资产利用</w:t>
      </w:r>
      <w:r>
        <w:rPr>
          <w:rFonts w:ascii="仿宋_GB2312" w:eastAsia="仿宋_GB2312" w:cs="DengXian-Regular" w:hint="eastAsia"/>
          <w:sz w:val="32"/>
          <w:szCs w:val="32"/>
        </w:rPr>
        <w:t>率。</w:t>
      </w:r>
    </w:p>
    <w:p w:rsidR="00852C43" w:rsidRDefault="002F5BF5">
      <w:pPr>
        <w:pStyle w:val="3"/>
        <w:spacing w:before="0" w:after="0"/>
        <w:ind w:firstLineChars="200" w:firstLine="643"/>
        <w:jc w:val="both"/>
        <w:rPr>
          <w:rFonts w:ascii="楷体" w:eastAsia="楷体" w:hAnsi="楷体"/>
          <w:kern w:val="2"/>
          <w:sz w:val="32"/>
        </w:rPr>
      </w:pPr>
      <w:bookmarkStart w:id="24" w:name="_Toc492652773"/>
      <w:bookmarkStart w:id="25" w:name="_Toc24932"/>
      <w:r>
        <w:rPr>
          <w:rFonts w:ascii="楷体" w:eastAsia="楷体" w:hAnsi="楷体" w:hint="eastAsia"/>
          <w:kern w:val="2"/>
          <w:sz w:val="32"/>
        </w:rPr>
        <w:t>（三）产出（</w:t>
      </w:r>
      <w:r w:rsidR="00A617CD">
        <w:rPr>
          <w:rFonts w:ascii="楷体" w:eastAsia="楷体" w:hAnsi="楷体" w:hint="eastAsia"/>
          <w:kern w:val="2"/>
          <w:sz w:val="32"/>
        </w:rPr>
        <w:t>20</w:t>
      </w:r>
      <w:r>
        <w:rPr>
          <w:rFonts w:ascii="楷体" w:eastAsia="楷体" w:hAnsi="楷体" w:hint="eastAsia"/>
          <w:kern w:val="2"/>
          <w:sz w:val="32"/>
        </w:rPr>
        <w:t>分）</w:t>
      </w:r>
      <w:bookmarkEnd w:id="24"/>
      <w:bookmarkEnd w:id="2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6" w:name="_Toc492652774"/>
      <w:r>
        <w:rPr>
          <w:rFonts w:ascii="仿宋_GB2312" w:eastAsia="仿宋_GB2312" w:cs="DengXian-Regular" w:hint="eastAsia"/>
          <w:sz w:val="32"/>
          <w:szCs w:val="32"/>
        </w:rPr>
        <w:t>主要反映</w:t>
      </w:r>
      <w:r w:rsidR="00A617CD">
        <w:rPr>
          <w:rFonts w:ascii="仿宋_GB2312" w:eastAsia="仿宋_GB2312" w:cs="DengXian-Regular" w:hint="eastAsia"/>
          <w:sz w:val="32"/>
          <w:szCs w:val="32"/>
        </w:rPr>
        <w:t>部门2019年在履职尽责过程中，目标工作任务的完成情况</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产出指标指标分值为</w:t>
      </w:r>
      <w:r w:rsidR="00A617CD">
        <w:rPr>
          <w:rFonts w:ascii="仿宋_GB2312" w:eastAsia="仿宋_GB2312" w:cs="DengXian-Regular" w:hint="eastAsia"/>
          <w:sz w:val="32"/>
          <w:szCs w:val="32"/>
        </w:rPr>
        <w:t>20</w:t>
      </w:r>
      <w:r>
        <w:rPr>
          <w:rFonts w:ascii="仿宋_GB2312" w:eastAsia="仿宋_GB2312" w:cs="DengXian-Regular" w:hint="eastAsia"/>
          <w:sz w:val="32"/>
          <w:szCs w:val="32"/>
        </w:rPr>
        <w:t>分，下设1个二级指标：</w:t>
      </w:r>
      <w:r w:rsidR="00A617CD">
        <w:rPr>
          <w:rFonts w:ascii="仿宋_GB2312" w:eastAsia="仿宋_GB2312" w:cs="DengXian-Regular" w:hint="eastAsia"/>
          <w:sz w:val="32"/>
          <w:szCs w:val="32"/>
        </w:rPr>
        <w:t>职责</w:t>
      </w:r>
      <w:r>
        <w:rPr>
          <w:rFonts w:ascii="仿宋_GB2312" w:eastAsia="仿宋_GB2312" w:cs="DengXian-Regular" w:hint="eastAsia"/>
          <w:sz w:val="32"/>
          <w:szCs w:val="32"/>
        </w:rPr>
        <w:t>履行，</w:t>
      </w:r>
      <w:r w:rsidR="00A617CD">
        <w:rPr>
          <w:rFonts w:ascii="仿宋_GB2312" w:eastAsia="仿宋_GB2312" w:cs="DengXian-Regular" w:hint="eastAsia"/>
          <w:sz w:val="32"/>
          <w:szCs w:val="32"/>
        </w:rPr>
        <w:t>4</w:t>
      </w:r>
      <w:r>
        <w:rPr>
          <w:rFonts w:ascii="仿宋_GB2312" w:eastAsia="仿宋_GB2312" w:cs="DengXian-Regular" w:hint="eastAsia"/>
          <w:sz w:val="32"/>
          <w:szCs w:val="32"/>
        </w:rPr>
        <w:t>个三级指标：</w:t>
      </w:r>
      <w:r w:rsidR="00A617CD">
        <w:rPr>
          <w:rFonts w:ascii="仿宋_GB2312" w:eastAsia="仿宋_GB2312" w:cs="DengXian-Regular" w:hint="eastAsia"/>
          <w:sz w:val="32"/>
          <w:szCs w:val="32"/>
        </w:rPr>
        <w:t>实际完成率、完成及时率、质量达标率、重点工作办结率</w:t>
      </w:r>
      <w:r>
        <w:rPr>
          <w:rFonts w:ascii="仿宋_GB2312" w:eastAsia="仿宋_GB2312" w:cs="DengXian-Regular" w:hint="eastAsia"/>
          <w:sz w:val="32"/>
          <w:szCs w:val="32"/>
        </w:rPr>
        <w:t>。</w:t>
      </w:r>
    </w:p>
    <w:p w:rsidR="00852C43" w:rsidRDefault="002F5BF5" w:rsidP="00C3172B">
      <w:pPr>
        <w:pStyle w:val="3"/>
        <w:spacing w:before="0" w:after="0"/>
        <w:ind w:firstLineChars="200" w:firstLine="640"/>
        <w:jc w:val="both"/>
        <w:rPr>
          <w:rFonts w:ascii="楷体_GB2312" w:eastAsia="楷体_GB2312" w:hAnsiTheme="minorEastAsia"/>
          <w:sz w:val="32"/>
        </w:rPr>
      </w:pPr>
      <w:bookmarkStart w:id="27" w:name="_Toc21821"/>
      <w:r>
        <w:rPr>
          <w:rFonts w:ascii="楷体_GB2312" w:eastAsia="楷体_GB2312" w:hAnsiTheme="minorEastAsia" w:hint="eastAsia"/>
          <w:kern w:val="2"/>
          <w:sz w:val="32"/>
        </w:rPr>
        <w:t>（四）效果（1</w:t>
      </w:r>
      <w:r w:rsidR="00A617CD">
        <w:rPr>
          <w:rFonts w:ascii="楷体_GB2312" w:eastAsia="楷体_GB2312" w:hAnsiTheme="minorEastAsia" w:hint="eastAsia"/>
          <w:kern w:val="2"/>
          <w:sz w:val="32"/>
        </w:rPr>
        <w:t>6</w:t>
      </w:r>
      <w:r>
        <w:rPr>
          <w:rFonts w:ascii="楷体_GB2312" w:eastAsia="楷体_GB2312" w:hAnsiTheme="minorEastAsia" w:hint="eastAsia"/>
          <w:kern w:val="2"/>
          <w:sz w:val="32"/>
        </w:rPr>
        <w:t>分）</w:t>
      </w:r>
      <w:bookmarkEnd w:id="26"/>
      <w:bookmarkEnd w:id="27"/>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8"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w:t>
      </w:r>
      <w:r w:rsidR="00A617CD">
        <w:rPr>
          <w:rFonts w:ascii="仿宋_GB2312" w:eastAsia="仿宋_GB2312" w:cs="DengXian-Regular" w:hint="eastAsia"/>
          <w:sz w:val="32"/>
          <w:szCs w:val="32"/>
        </w:rPr>
        <w:t>16</w:t>
      </w:r>
      <w:r>
        <w:rPr>
          <w:rFonts w:ascii="仿宋_GB2312" w:eastAsia="仿宋_GB2312" w:cs="DengXian-Regular" w:hint="eastAsia"/>
          <w:sz w:val="32"/>
          <w:szCs w:val="32"/>
        </w:rPr>
        <w:t>分，下设1</w:t>
      </w:r>
      <w:r w:rsidR="00A617CD">
        <w:rPr>
          <w:rFonts w:ascii="仿宋_GB2312" w:eastAsia="仿宋_GB2312" w:cs="DengXian-Regular" w:hint="eastAsia"/>
          <w:sz w:val="32"/>
          <w:szCs w:val="32"/>
        </w:rPr>
        <w:t>个二级指标：履职效益</w:t>
      </w:r>
      <w:r>
        <w:rPr>
          <w:rFonts w:ascii="仿宋_GB2312" w:eastAsia="仿宋_GB2312" w:cs="DengXian-Regular" w:hint="eastAsia"/>
          <w:sz w:val="32"/>
          <w:szCs w:val="32"/>
        </w:rPr>
        <w:t>，</w:t>
      </w:r>
      <w:r w:rsidR="00A617CD">
        <w:rPr>
          <w:rFonts w:ascii="仿宋_GB2312" w:eastAsia="仿宋_GB2312" w:cs="DengXian-Regular" w:hint="eastAsia"/>
          <w:sz w:val="32"/>
          <w:szCs w:val="32"/>
        </w:rPr>
        <w:t>3</w:t>
      </w:r>
      <w:r>
        <w:rPr>
          <w:rFonts w:ascii="仿宋_GB2312" w:eastAsia="仿宋_GB2312" w:cs="DengXian-Regular" w:hint="eastAsia"/>
          <w:sz w:val="32"/>
          <w:szCs w:val="32"/>
        </w:rPr>
        <w:t>个三级指标：</w:t>
      </w:r>
      <w:r w:rsidR="00A617CD">
        <w:rPr>
          <w:rFonts w:ascii="仿宋_GB2312" w:eastAsia="仿宋_GB2312" w:cs="DengXian-Regular" w:hint="eastAsia"/>
          <w:sz w:val="32"/>
          <w:szCs w:val="32"/>
        </w:rPr>
        <w:t>经济</w:t>
      </w:r>
      <w:r>
        <w:rPr>
          <w:rFonts w:ascii="仿宋_GB2312" w:eastAsia="仿宋_GB2312" w:cs="DengXian-Regular" w:hint="eastAsia"/>
          <w:sz w:val="32"/>
          <w:szCs w:val="32"/>
        </w:rPr>
        <w:t>效益</w:t>
      </w:r>
      <w:r w:rsidR="00A617CD">
        <w:rPr>
          <w:rFonts w:ascii="仿宋_GB2312" w:eastAsia="仿宋_GB2312" w:cs="DengXian-Regular" w:hint="eastAsia"/>
          <w:sz w:val="32"/>
          <w:szCs w:val="32"/>
        </w:rPr>
        <w:t>、社会效益</w:t>
      </w:r>
      <w:r>
        <w:rPr>
          <w:rFonts w:ascii="仿宋_GB2312" w:eastAsia="仿宋_GB2312" w:cs="DengXian-Regular" w:hint="eastAsia"/>
          <w:sz w:val="32"/>
          <w:szCs w:val="32"/>
        </w:rPr>
        <w:t>和</w:t>
      </w:r>
      <w:r w:rsidR="00A617CD">
        <w:rPr>
          <w:rFonts w:ascii="仿宋_GB2312" w:eastAsia="仿宋_GB2312" w:cs="DengXian-Regular" w:hint="eastAsia"/>
          <w:sz w:val="32"/>
          <w:szCs w:val="32"/>
        </w:rPr>
        <w:t>服务对象</w:t>
      </w:r>
      <w:r>
        <w:rPr>
          <w:rFonts w:ascii="仿宋_GB2312" w:eastAsia="仿宋_GB2312" w:cs="DengXian-Regular" w:hint="eastAsia"/>
          <w:sz w:val="32"/>
          <w:szCs w:val="32"/>
        </w:rPr>
        <w:t>满意度。</w:t>
      </w:r>
    </w:p>
    <w:p w:rsidR="00852C43" w:rsidRDefault="002F5BF5">
      <w:pPr>
        <w:pStyle w:val="2"/>
        <w:spacing w:before="0" w:after="0" w:line="360" w:lineRule="auto"/>
        <w:ind w:firstLineChars="200" w:firstLine="643"/>
        <w:rPr>
          <w:rFonts w:ascii="黑体"/>
        </w:rPr>
      </w:pPr>
      <w:bookmarkStart w:id="29" w:name="_Toc11842"/>
      <w:r>
        <w:rPr>
          <w:rFonts w:ascii="黑体" w:hint="eastAsia"/>
        </w:rPr>
        <w:t>三、综合绩效评价工作情况</w:t>
      </w:r>
      <w:bookmarkStart w:id="30" w:name="_Toc492652776"/>
      <w:bookmarkStart w:id="31" w:name="_Toc465149505"/>
      <w:bookmarkEnd w:id="19"/>
      <w:bookmarkEnd w:id="28"/>
      <w:bookmarkEnd w:id="29"/>
    </w:p>
    <w:p w:rsidR="00852C43" w:rsidRDefault="002F5BF5" w:rsidP="00C3172B">
      <w:pPr>
        <w:pStyle w:val="3"/>
        <w:spacing w:before="0" w:after="0"/>
        <w:ind w:firstLineChars="200" w:firstLine="640"/>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3" w:name="_Toc465149506"/>
      <w:bookmarkStart w:id="34" w:name="_Toc492652777"/>
      <w:r>
        <w:rPr>
          <w:rFonts w:ascii="仿宋_GB2312" w:eastAsia="仿宋_GB2312" w:cs="DengXian-Regular" w:hint="eastAsia"/>
          <w:sz w:val="32"/>
          <w:szCs w:val="32"/>
        </w:rPr>
        <w:t>通过对</w:t>
      </w:r>
      <w:r w:rsidR="00F65350">
        <w:rPr>
          <w:rFonts w:ascii="仿宋_GB2312" w:eastAsia="仿宋_GB2312" w:cs="DengXian-Regular" w:hint="eastAsia"/>
          <w:sz w:val="32"/>
          <w:szCs w:val="32"/>
        </w:rPr>
        <w:t>区</w:t>
      </w:r>
      <w:r w:rsidR="00A617CD">
        <w:rPr>
          <w:rFonts w:ascii="仿宋_GB2312" w:eastAsia="仿宋_GB2312" w:cs="DengXian-Regular" w:hint="eastAsia"/>
          <w:sz w:val="32"/>
          <w:szCs w:val="32"/>
        </w:rPr>
        <w:t>工信局</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rsidP="00C3172B">
      <w:pPr>
        <w:pStyle w:val="3"/>
        <w:spacing w:before="0" w:after="0"/>
        <w:ind w:firstLineChars="200" w:firstLine="640"/>
        <w:jc w:val="both"/>
        <w:rPr>
          <w:rFonts w:ascii="楷体_GB2312" w:eastAsia="楷体_GB2312" w:hAnsiTheme="minorEastAsia"/>
          <w:kern w:val="2"/>
          <w:sz w:val="32"/>
        </w:rPr>
      </w:pPr>
      <w:bookmarkStart w:id="35" w:name="_Toc11607"/>
      <w:r>
        <w:rPr>
          <w:rFonts w:ascii="楷体_GB2312" w:eastAsia="楷体_GB2312" w:hAnsiTheme="minorEastAsia" w:hint="eastAsia"/>
          <w:kern w:val="2"/>
          <w:sz w:val="32"/>
        </w:rPr>
        <w:lastRenderedPageBreak/>
        <w:t>（二）绩效评价依据</w:t>
      </w:r>
      <w:bookmarkEnd w:id="33"/>
      <w:bookmarkEnd w:id="34"/>
      <w:bookmarkEnd w:id="3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7" w:name="_Toc492652778"/>
    </w:p>
    <w:p w:rsidR="00852C43" w:rsidRDefault="002F5BF5" w:rsidP="00C3172B">
      <w:pPr>
        <w:pStyle w:val="3"/>
        <w:spacing w:before="0" w:after="0"/>
        <w:ind w:firstLineChars="200" w:firstLine="640"/>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852C43" w:rsidRDefault="00F65350">
      <w:pPr>
        <w:spacing w:after="0" w:line="360" w:lineRule="auto"/>
        <w:ind w:firstLineChars="200" w:firstLine="640"/>
        <w:jc w:val="both"/>
        <w:textAlignment w:val="baseline"/>
        <w:rPr>
          <w:rFonts w:ascii="仿宋_GB2312" w:eastAsia="仿宋_GB2312" w:cs="DengXian-Regular"/>
          <w:sz w:val="32"/>
          <w:szCs w:val="32"/>
        </w:rPr>
      </w:pPr>
      <w:bookmarkStart w:id="39" w:name="_Toc465149508"/>
      <w:bookmarkStart w:id="40" w:name="_Toc492652779"/>
      <w:bookmarkEnd w:id="36"/>
      <w:r>
        <w:rPr>
          <w:rFonts w:ascii="仿宋_GB2312" w:eastAsia="仿宋_GB2312" w:cs="DengXian-Regular" w:hint="eastAsia"/>
          <w:sz w:val="32"/>
          <w:szCs w:val="32"/>
        </w:rPr>
        <w:t>区</w:t>
      </w:r>
      <w:r w:rsidR="006F37F4">
        <w:rPr>
          <w:rFonts w:ascii="仿宋_GB2312" w:eastAsia="仿宋_GB2312" w:cs="DengXian-Regular" w:hint="eastAsia"/>
          <w:sz w:val="32"/>
          <w:szCs w:val="32"/>
        </w:rPr>
        <w:t>工信局</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rsidP="00C3172B">
      <w:pPr>
        <w:pStyle w:val="3"/>
        <w:spacing w:before="0" w:after="0"/>
        <w:ind w:firstLineChars="200" w:firstLine="640"/>
        <w:jc w:val="both"/>
        <w:rPr>
          <w:rFonts w:ascii="楷体_GB2312" w:eastAsia="楷体_GB2312" w:hAnsiTheme="minorEastAsia"/>
          <w:kern w:val="2"/>
          <w:sz w:val="32"/>
        </w:rPr>
      </w:pPr>
      <w:bookmarkStart w:id="41" w:name="_Toc789"/>
      <w:r>
        <w:rPr>
          <w:rFonts w:ascii="楷体_GB2312" w:eastAsia="楷体_GB2312" w:hAnsiTheme="minorEastAsia" w:hint="eastAsia"/>
          <w:kern w:val="2"/>
          <w:sz w:val="32"/>
        </w:rPr>
        <w:lastRenderedPageBreak/>
        <w:t>（四）绩效评价原则</w:t>
      </w:r>
      <w:bookmarkEnd w:id="4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rsidP="00C3172B">
      <w:pPr>
        <w:pStyle w:val="3"/>
        <w:spacing w:before="0" w:after="0"/>
        <w:ind w:firstLineChars="200" w:firstLine="640"/>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39"/>
      <w:r>
        <w:rPr>
          <w:rFonts w:ascii="楷体_GB2312" w:eastAsia="楷体_GB2312" w:hAnsiTheme="minorEastAsia" w:hint="eastAsia"/>
          <w:kern w:val="2"/>
          <w:sz w:val="32"/>
        </w:rPr>
        <w:t>绩效评价方法</w:t>
      </w:r>
      <w:bookmarkEnd w:id="40"/>
      <w:bookmarkEnd w:id="42"/>
      <w:bookmarkEnd w:id="4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4" w:name="_Toc422314152"/>
      <w:bookmarkStart w:id="45" w:name="_Toc421623217"/>
      <w:bookmarkStart w:id="46" w:name="_Toc465149510"/>
      <w:bookmarkStart w:id="47"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8" w:name="_Toc422314153"/>
      <w:bookmarkStart w:id="49"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w:t>
      </w:r>
      <w:r w:rsidR="006F37F4">
        <w:rPr>
          <w:rFonts w:ascii="仿宋_GB2312" w:eastAsia="仿宋_GB2312" w:cs="DengXian-Regular" w:hint="eastAsia"/>
          <w:sz w:val="32"/>
          <w:szCs w:val="32"/>
        </w:rPr>
        <w:t>表格</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0" w:name="_Toc422314155"/>
      <w:bookmarkStart w:id="51" w:name="_Toc421623220"/>
      <w:r>
        <w:rPr>
          <w:rFonts w:ascii="仿宋_GB2312" w:eastAsia="仿宋_GB2312" w:cs="DengXian-Regular" w:hint="eastAsia"/>
          <w:sz w:val="32"/>
          <w:szCs w:val="32"/>
        </w:rPr>
        <w:lastRenderedPageBreak/>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0"/>
      <w:bookmarkEnd w:id="51"/>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2" w:name="_Toc421623221"/>
      <w:bookmarkStart w:id="53"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852C43" w:rsidRDefault="002F5BF5" w:rsidP="00C3172B">
      <w:pPr>
        <w:spacing w:after="0" w:line="360" w:lineRule="auto"/>
        <w:ind w:firstLineChars="200" w:firstLine="640"/>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w:t>
      </w:r>
      <w:r w:rsidR="00985AD5">
        <w:rPr>
          <w:rFonts w:ascii="仿宋_GB2312" w:eastAsia="仿宋_GB2312" w:cs="DengXian-Regular" w:hint="eastAsia"/>
          <w:sz w:val="32"/>
          <w:szCs w:val="32"/>
        </w:rPr>
        <w:t>制定绩效评价实施方案、收集</w:t>
      </w:r>
      <w:r>
        <w:rPr>
          <w:rFonts w:ascii="仿宋_GB2312" w:eastAsia="仿宋_GB2312" w:cs="DengXian-Regular" w:hint="eastAsia"/>
          <w:sz w:val="32"/>
          <w:szCs w:val="32"/>
        </w:rPr>
        <w:t>准备</w:t>
      </w:r>
      <w:r w:rsidR="00985AD5">
        <w:rPr>
          <w:rFonts w:ascii="仿宋_GB2312" w:eastAsia="仿宋_GB2312" w:cs="DengXian-Regular" w:hint="eastAsia"/>
          <w:sz w:val="32"/>
          <w:szCs w:val="32"/>
        </w:rPr>
        <w:t>相关资料</w:t>
      </w:r>
      <w:r>
        <w:rPr>
          <w:rFonts w:ascii="仿宋_GB2312" w:eastAsia="仿宋_GB2312" w:cs="DengXian-Regular" w:hint="eastAsia"/>
          <w:sz w:val="32"/>
          <w:szCs w:val="32"/>
        </w:rPr>
        <w:t>、指标体系制定、组织实施、绩效评价报告撰写</w:t>
      </w:r>
      <w:r w:rsidR="00985AD5">
        <w:rPr>
          <w:rFonts w:ascii="仿宋_GB2312" w:eastAsia="仿宋_GB2312" w:cs="DengXian-Regular" w:hint="eastAsia"/>
          <w:sz w:val="32"/>
          <w:szCs w:val="32"/>
        </w:rPr>
        <w:t>五</w:t>
      </w:r>
      <w:r>
        <w:rPr>
          <w:rFonts w:ascii="仿宋_GB2312" w:eastAsia="仿宋_GB2312" w:cs="DengXian-Regular" w:hint="eastAsia"/>
          <w:sz w:val="32"/>
          <w:szCs w:val="32"/>
        </w:rPr>
        <w:t>个阶段。</w:t>
      </w:r>
    </w:p>
    <w:p w:rsidR="00985AD5" w:rsidRDefault="00985AD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985AD5">
        <w:rPr>
          <w:rFonts w:ascii="仿宋_GB2312" w:eastAsia="仿宋_GB2312" w:cs="DengXian-Regular" w:hint="eastAsia"/>
          <w:sz w:val="32"/>
          <w:szCs w:val="32"/>
        </w:rPr>
        <w:t xml:space="preserve"> </w:t>
      </w:r>
      <w:r>
        <w:rPr>
          <w:rFonts w:ascii="仿宋_GB2312" w:eastAsia="仿宋_GB2312" w:cs="DengXian-Regular" w:hint="eastAsia"/>
          <w:sz w:val="32"/>
          <w:szCs w:val="32"/>
        </w:rPr>
        <w:t>制定绩效评价实施方案</w:t>
      </w:r>
    </w:p>
    <w:p w:rsidR="00985AD5" w:rsidRPr="00985AD5" w:rsidRDefault="00985AD5" w:rsidP="00985AD5">
      <w:pPr>
        <w:spacing w:line="540" w:lineRule="exact"/>
        <w:ind w:firstLineChars="200" w:firstLine="640"/>
        <w:rPr>
          <w:rFonts w:ascii="仿宋_GB2312" w:eastAsia="仿宋_GB2312" w:hAnsiTheme="minorEastAsia"/>
          <w:sz w:val="32"/>
          <w:szCs w:val="32"/>
          <w:highlight w:val="yellow"/>
        </w:rPr>
      </w:pPr>
      <w:r>
        <w:rPr>
          <w:rFonts w:ascii="仿宋_GB2312" w:eastAsia="仿宋_GB2312" w:cs="DengXian-Regular" w:hint="eastAsia"/>
          <w:sz w:val="32"/>
          <w:szCs w:val="32"/>
        </w:rPr>
        <w:t>召开股级以上领导干部会议，议定：</w:t>
      </w:r>
      <w:r w:rsidRPr="00985AD5">
        <w:rPr>
          <w:rFonts w:ascii="仿宋_GB2312" w:eastAsia="仿宋_GB2312" w:hAnsi="宋体" w:cs="Times New Roman" w:hint="eastAsia"/>
          <w:sz w:val="32"/>
          <w:szCs w:val="32"/>
        </w:rPr>
        <w:t>成立绩效评价工作组</w:t>
      </w:r>
      <w:r>
        <w:rPr>
          <w:rFonts w:ascii="仿宋_GB2312" w:eastAsia="仿宋_GB2312" w:hAnsiTheme="minorEastAsia" w:hint="eastAsia"/>
          <w:sz w:val="32"/>
          <w:szCs w:val="32"/>
        </w:rPr>
        <w:t>事宜</w:t>
      </w:r>
      <w:r w:rsidRPr="00985AD5">
        <w:rPr>
          <w:rFonts w:ascii="仿宋_GB2312" w:eastAsia="仿宋_GB2312" w:hAnsi="宋体" w:cs="Times New Roman" w:hint="eastAsia"/>
          <w:sz w:val="32"/>
          <w:szCs w:val="32"/>
        </w:rPr>
        <w:t>，</w:t>
      </w:r>
      <w:r>
        <w:rPr>
          <w:rFonts w:ascii="仿宋_GB2312" w:eastAsia="仿宋_GB2312" w:hAnsiTheme="minorEastAsia" w:hint="eastAsia"/>
          <w:sz w:val="32"/>
          <w:szCs w:val="32"/>
        </w:rPr>
        <w:t>研究制定</w:t>
      </w:r>
      <w:r w:rsidRPr="00985AD5">
        <w:rPr>
          <w:rFonts w:ascii="仿宋_GB2312" w:eastAsia="仿宋_GB2312" w:hAnsi="宋体" w:cs="Times New Roman" w:hint="eastAsia"/>
          <w:sz w:val="32"/>
          <w:szCs w:val="32"/>
        </w:rPr>
        <w:t>绩效评价工作方案。</w:t>
      </w:r>
    </w:p>
    <w:p w:rsidR="00852C43" w:rsidRDefault="00985AD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2F5BF5">
        <w:rPr>
          <w:rFonts w:ascii="仿宋_GB2312" w:eastAsia="仿宋_GB2312" w:cs="DengXian-Regular" w:hint="eastAsia"/>
          <w:sz w:val="32"/>
          <w:szCs w:val="32"/>
        </w:rPr>
        <w:t>.</w:t>
      </w:r>
      <w:r>
        <w:rPr>
          <w:rFonts w:ascii="仿宋_GB2312" w:eastAsia="仿宋_GB2312" w:cs="DengXian-Regular" w:hint="eastAsia"/>
          <w:sz w:val="32"/>
          <w:szCs w:val="32"/>
        </w:rPr>
        <w:t>收集</w:t>
      </w:r>
      <w:r w:rsidR="002F5BF5">
        <w:rPr>
          <w:rFonts w:ascii="仿宋_GB2312" w:eastAsia="仿宋_GB2312" w:cs="DengXian-Regular" w:hint="eastAsia"/>
          <w:sz w:val="32"/>
          <w:szCs w:val="32"/>
        </w:rPr>
        <w:t>准备阶段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充分收集相关资料，主要包括</w:t>
      </w:r>
      <w:r w:rsidR="006F37F4">
        <w:rPr>
          <w:rFonts w:ascii="仿宋_GB2312" w:eastAsia="仿宋_GB2312" w:cs="DengXian-Regular" w:hint="eastAsia"/>
          <w:sz w:val="32"/>
          <w:szCs w:val="32"/>
        </w:rPr>
        <w:t>“三定方案”、</w:t>
      </w:r>
      <w:r>
        <w:rPr>
          <w:rFonts w:ascii="仿宋_GB2312" w:eastAsia="仿宋_GB2312" w:cs="DengXian-Regular" w:hint="eastAsia"/>
          <w:sz w:val="32"/>
          <w:szCs w:val="32"/>
        </w:rPr>
        <w:t>预决算</w:t>
      </w:r>
      <w:r w:rsidR="006F37F4">
        <w:rPr>
          <w:rFonts w:ascii="仿宋_GB2312" w:eastAsia="仿宋_GB2312" w:cs="DengXian-Regular" w:hint="eastAsia"/>
          <w:sz w:val="32"/>
          <w:szCs w:val="32"/>
        </w:rPr>
        <w:t>公开表格及相关资料</w:t>
      </w:r>
      <w:r>
        <w:rPr>
          <w:rFonts w:ascii="仿宋_GB2312" w:eastAsia="仿宋_GB2312" w:cs="DengXian-Regular" w:hint="eastAsia"/>
          <w:sz w:val="32"/>
          <w:szCs w:val="32"/>
        </w:rPr>
        <w:t>、相关管理制度、资金使用等相关资料，为制定绩效评价实施方案和指标体系奠定了基础。</w:t>
      </w:r>
    </w:p>
    <w:p w:rsidR="00852C43" w:rsidRDefault="00985AD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2F5BF5">
        <w:rPr>
          <w:rFonts w:ascii="仿宋_GB2312" w:eastAsia="仿宋_GB2312" w:cs="DengXian-Regular" w:hint="eastAsia"/>
          <w:sz w:val="32"/>
          <w:szCs w:val="32"/>
        </w:rPr>
        <w:t>.</w:t>
      </w:r>
      <w:r>
        <w:rPr>
          <w:rFonts w:ascii="仿宋_GB2312" w:eastAsia="仿宋_GB2312" w:cs="DengXian-Regular" w:hint="eastAsia"/>
          <w:sz w:val="32"/>
          <w:szCs w:val="32"/>
        </w:rPr>
        <w:t>确</w:t>
      </w:r>
      <w:r w:rsidR="002F5BF5">
        <w:rPr>
          <w:rFonts w:ascii="仿宋_GB2312" w:eastAsia="仿宋_GB2312" w:cs="DengXian-Regular" w:hint="eastAsia"/>
          <w:sz w:val="32"/>
          <w:szCs w:val="32"/>
        </w:rPr>
        <w:t>定绩效评价实施方案和体系</w:t>
      </w:r>
    </w:p>
    <w:p w:rsidR="00852C43" w:rsidRDefault="006F37F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结合收集的</w:t>
      </w:r>
      <w:r w:rsidR="002F5BF5">
        <w:rPr>
          <w:rFonts w:ascii="仿宋_GB2312" w:eastAsia="仿宋_GB2312" w:cs="DengXian-Regular" w:hint="eastAsia"/>
          <w:sz w:val="32"/>
          <w:szCs w:val="32"/>
        </w:rPr>
        <w:t>相关资料，制定</w:t>
      </w:r>
      <w:r>
        <w:rPr>
          <w:rFonts w:ascii="仿宋_GB2312" w:eastAsia="仿宋_GB2312" w:cs="DengXian-Regular" w:hint="eastAsia"/>
          <w:sz w:val="32"/>
          <w:szCs w:val="32"/>
        </w:rPr>
        <w:t>区工信局部门整体支出绩效评价</w:t>
      </w:r>
      <w:r w:rsidR="002F5BF5">
        <w:rPr>
          <w:rFonts w:ascii="仿宋_GB2312" w:eastAsia="仿宋_GB2312" w:cs="DengXian-Regular" w:hint="eastAsia"/>
          <w:sz w:val="32"/>
          <w:szCs w:val="32"/>
        </w:rPr>
        <w:t>体系</w:t>
      </w:r>
      <w:r w:rsidR="00985AD5">
        <w:rPr>
          <w:rFonts w:ascii="仿宋_GB2312" w:eastAsia="仿宋_GB2312" w:cs="DengXian-Regular" w:hint="eastAsia"/>
          <w:sz w:val="32"/>
          <w:szCs w:val="32"/>
        </w:rPr>
        <w:t>，确定部门绩效评价实施方案</w:t>
      </w:r>
      <w:r w:rsidR="002F5BF5">
        <w:rPr>
          <w:rFonts w:ascii="仿宋_GB2312" w:eastAsia="仿宋_GB2312" w:cs="DengXian-Regular" w:hint="eastAsia"/>
          <w:sz w:val="32"/>
          <w:szCs w:val="32"/>
        </w:rPr>
        <w:t>。</w:t>
      </w:r>
    </w:p>
    <w:p w:rsidR="00852C43" w:rsidRDefault="00985AD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002F5BF5">
        <w:rPr>
          <w:rFonts w:ascii="仿宋_GB2312" w:eastAsia="仿宋_GB2312" w:cs="DengXian-Regular" w:hint="eastAsia"/>
          <w:sz w:val="32"/>
          <w:szCs w:val="32"/>
        </w:rPr>
        <w:t>.组织实施阶段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根据绩效评价实施方案和指标体系，对</w:t>
      </w:r>
      <w:r w:rsidR="00F65350">
        <w:rPr>
          <w:rFonts w:ascii="仿宋_GB2312" w:eastAsia="仿宋_GB2312" w:cs="DengXian-Regular" w:hint="eastAsia"/>
          <w:sz w:val="32"/>
          <w:szCs w:val="32"/>
        </w:rPr>
        <w:t>区</w:t>
      </w:r>
      <w:r w:rsidR="00F00F0F">
        <w:rPr>
          <w:rFonts w:ascii="仿宋_GB2312" w:eastAsia="仿宋_GB2312" w:cs="DengXian-Regular" w:hint="eastAsia"/>
          <w:sz w:val="32"/>
          <w:szCs w:val="32"/>
        </w:rPr>
        <w:t>工信局</w:t>
      </w:r>
      <w:r>
        <w:rPr>
          <w:rFonts w:ascii="仿宋_GB2312" w:eastAsia="仿宋_GB2312" w:cs="DengXian-Regular" w:hint="eastAsia"/>
          <w:sz w:val="32"/>
          <w:szCs w:val="32"/>
        </w:rPr>
        <w:t>开展评价工作，包括查看预决算</w:t>
      </w:r>
      <w:r w:rsidR="00F00F0F">
        <w:rPr>
          <w:rFonts w:ascii="仿宋_GB2312" w:eastAsia="仿宋_GB2312" w:cs="DengXian-Regular" w:hint="eastAsia"/>
          <w:sz w:val="32"/>
          <w:szCs w:val="32"/>
        </w:rPr>
        <w:t>表格、相关资料</w:t>
      </w:r>
      <w:r>
        <w:rPr>
          <w:rFonts w:ascii="仿宋_GB2312" w:eastAsia="仿宋_GB2312" w:cs="DengXian-Regular" w:hint="eastAsia"/>
          <w:sz w:val="32"/>
          <w:szCs w:val="32"/>
        </w:rPr>
        <w:t>及部门工作活动绩效目标和指标；比对预决算的调整及执行情况；核查固定资产管理的规范性；核查明细账与决算报表项目的一致性；对项目产出情况进行了解查看；随机选取服务对象进行满意</w:t>
      </w:r>
      <w:r w:rsidR="00F00F0F">
        <w:rPr>
          <w:rFonts w:ascii="仿宋_GB2312" w:eastAsia="仿宋_GB2312" w:cs="DengXian-Regular" w:hint="eastAsia"/>
          <w:sz w:val="32"/>
          <w:szCs w:val="32"/>
        </w:rPr>
        <w:t>度调查</w:t>
      </w:r>
      <w:r>
        <w:rPr>
          <w:rFonts w:ascii="仿宋_GB2312" w:eastAsia="仿宋_GB2312" w:cs="DengXian-Regular" w:hint="eastAsia"/>
          <w:sz w:val="32"/>
          <w:szCs w:val="32"/>
        </w:rPr>
        <w:t>等。根据收集的数据、资料进行核对、比较、计算，对部门整体支出进行评分。</w:t>
      </w:r>
    </w:p>
    <w:p w:rsidR="00852C43" w:rsidRDefault="00F00F0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sidR="002F5BF5">
        <w:rPr>
          <w:rFonts w:ascii="仿宋_GB2312" w:eastAsia="仿宋_GB2312" w:cs="DengXian-Regular" w:hint="eastAsia"/>
          <w:sz w:val="32"/>
          <w:szCs w:val="32"/>
        </w:rPr>
        <w:t>.撰写绩效评价报告</w:t>
      </w:r>
      <w:bookmarkStart w:id="55" w:name="_Toc465149511"/>
      <w:bookmarkStart w:id="56"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7" w:name="_Toc6467"/>
      <w:r>
        <w:rPr>
          <w:rFonts w:ascii="黑体" w:hint="eastAsia"/>
        </w:rPr>
        <w:t>四、</w:t>
      </w:r>
      <w:bookmarkStart w:id="58" w:name="_Toc492652782"/>
      <w:bookmarkEnd w:id="55"/>
      <w:bookmarkEnd w:id="56"/>
      <w:r>
        <w:rPr>
          <w:rFonts w:ascii="黑体" w:hint="eastAsia"/>
        </w:rPr>
        <w:t>绩效评价评分情况</w:t>
      </w:r>
      <w:bookmarkEnd w:id="57"/>
    </w:p>
    <w:bookmarkEnd w:id="58"/>
    <w:p w:rsidR="00852C43" w:rsidRDefault="00F00F0F">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区工信局</w:t>
      </w:r>
      <w:r w:rsidR="002F5BF5">
        <w:rPr>
          <w:rFonts w:ascii="仿宋_GB2312" w:eastAsia="仿宋_GB2312" w:cs="DengXian-Regular" w:hint="eastAsia"/>
          <w:sz w:val="32"/>
          <w:szCs w:val="32"/>
        </w:rPr>
        <w:t>部门整体支出绩效评价总得分为</w:t>
      </w:r>
      <w:r>
        <w:rPr>
          <w:rFonts w:ascii="仿宋_GB2312" w:eastAsia="仿宋_GB2312" w:cs="DengXian-Regular" w:hint="eastAsia"/>
          <w:sz w:val="32"/>
          <w:szCs w:val="32"/>
        </w:rPr>
        <w:t>92</w:t>
      </w:r>
      <w:r w:rsidR="002F5BF5">
        <w:rPr>
          <w:rFonts w:ascii="仿宋_GB2312" w:eastAsia="仿宋_GB2312" w:cs="DengXian-Regular" w:hint="eastAsia"/>
          <w:sz w:val="32"/>
          <w:szCs w:val="32"/>
        </w:rPr>
        <w:t>分，综合绩效评价等级为“</w:t>
      </w:r>
      <w:r>
        <w:rPr>
          <w:rFonts w:ascii="仿宋_GB2312" w:eastAsia="仿宋_GB2312" w:cs="DengXian-Regular" w:hint="eastAsia"/>
          <w:sz w:val="32"/>
          <w:szCs w:val="32"/>
        </w:rPr>
        <w:t>优</w:t>
      </w:r>
      <w:r w:rsidR="002F5BF5">
        <w:rPr>
          <w:rFonts w:ascii="仿宋_GB2312" w:eastAsia="仿宋_GB2312" w:cs="DengXian-Regular" w:hint="eastAsia"/>
          <w:sz w:val="32"/>
          <w:szCs w:val="32"/>
        </w:rPr>
        <w:t>”。各项得分情况如下</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sz w:val="32"/>
          <w:szCs w:val="32"/>
          <w:u w:color="000000"/>
        </w:rPr>
        <w:t xml:space="preserve"> </w:t>
      </w:r>
    </w:p>
    <w:p w:rsidR="00852C43" w:rsidRDefault="002F5BF5" w:rsidP="00C3172B">
      <w:pPr>
        <w:pStyle w:val="3"/>
        <w:spacing w:before="0" w:after="0"/>
        <w:ind w:firstLineChars="200" w:firstLine="640"/>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w:t>
      </w:r>
      <w:r w:rsidR="00F00F0F">
        <w:rPr>
          <w:rFonts w:ascii="楷体_GB2312" w:eastAsia="楷体_GB2312" w:hAnsiTheme="minorEastAsia" w:hint="eastAsia"/>
          <w:kern w:val="2"/>
          <w:sz w:val="32"/>
        </w:rPr>
        <w:t>18</w:t>
      </w:r>
      <w:r>
        <w:rPr>
          <w:rFonts w:ascii="楷体_GB2312" w:eastAsia="楷体_GB2312" w:hAnsiTheme="minorEastAsia" w:hint="eastAsia"/>
          <w:kern w:val="2"/>
          <w:sz w:val="32"/>
        </w:rPr>
        <w:t>分）</w:t>
      </w:r>
      <w:bookmarkEnd w:id="60"/>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w:t>
      </w:r>
      <w:r w:rsidR="00F00F0F">
        <w:rPr>
          <w:rFonts w:ascii="仿宋_GB2312" w:eastAsia="仿宋_GB2312" w:cs="DengXian-Regular" w:hint="eastAsia"/>
          <w:sz w:val="32"/>
          <w:szCs w:val="32"/>
        </w:rPr>
        <w:t>“三公经费”变动、重点支出安排</w:t>
      </w:r>
      <w:r>
        <w:rPr>
          <w:rFonts w:ascii="仿宋_GB2312" w:eastAsia="仿宋_GB2312" w:cs="DengXian-Regular" w:hint="eastAsia"/>
          <w:sz w:val="32"/>
          <w:szCs w:val="32"/>
        </w:rPr>
        <w:t>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sidRPr="006061BD">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247"/>
        <w:gridCol w:w="2410"/>
        <w:gridCol w:w="738"/>
        <w:gridCol w:w="1530"/>
      </w:tblGrid>
      <w:tr w:rsidR="00852C43" w:rsidTr="00E72A5C">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247"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2410"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73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530"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rsidTr="00E72A5C">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rsidP="00E72A5C">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lastRenderedPageBreak/>
              <w:t>（1</w:t>
            </w:r>
            <w:r w:rsidR="00E72A5C">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分）</w:t>
            </w:r>
          </w:p>
        </w:tc>
        <w:tc>
          <w:tcPr>
            <w:tcW w:w="1247" w:type="dxa"/>
            <w:vMerge w:val="restart"/>
            <w:vAlign w:val="center"/>
          </w:tcPr>
          <w:p w:rsidR="00852C43" w:rsidRDefault="002F5BF5" w:rsidP="00E72A5C">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lastRenderedPageBreak/>
              <w:t>目标设定（</w:t>
            </w:r>
            <w:r w:rsidR="00E72A5C">
              <w:rPr>
                <w:rFonts w:asciiTheme="minorEastAsia" w:eastAsiaTheme="minorEastAsia" w:hAnsiTheme="minorEastAsia" w:cs="宋体" w:hint="eastAsia"/>
                <w:sz w:val="21"/>
                <w:szCs w:val="21"/>
              </w:rPr>
              <w:t>7</w:t>
            </w:r>
            <w:r>
              <w:rPr>
                <w:rFonts w:asciiTheme="minorEastAsia" w:eastAsiaTheme="minorEastAsia" w:hAnsiTheme="minorEastAsia" w:cs="宋体" w:hint="eastAsia"/>
                <w:sz w:val="21"/>
                <w:szCs w:val="21"/>
              </w:rPr>
              <w:t>分）</w:t>
            </w:r>
          </w:p>
        </w:tc>
        <w:tc>
          <w:tcPr>
            <w:tcW w:w="2410"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738"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530"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rsidTr="00E72A5C">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47"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2410" w:type="dxa"/>
            <w:vAlign w:val="center"/>
          </w:tcPr>
          <w:p w:rsidR="00852C43" w:rsidRDefault="002F5BF5" w:rsidP="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w:t>
            </w:r>
            <w:r w:rsidR="00E72A5C">
              <w:rPr>
                <w:rFonts w:asciiTheme="minorEastAsia" w:eastAsiaTheme="minorEastAsia" w:hAnsiTheme="minorEastAsia" w:cs="宋体" w:hint="eastAsia"/>
                <w:sz w:val="21"/>
                <w:szCs w:val="21"/>
              </w:rPr>
              <w:t>指标明确</w:t>
            </w:r>
            <w:r>
              <w:rPr>
                <w:rFonts w:asciiTheme="minorEastAsia" w:eastAsiaTheme="minorEastAsia" w:hAnsiTheme="minorEastAsia" w:cs="宋体" w:hint="eastAsia"/>
                <w:sz w:val="21"/>
                <w:szCs w:val="21"/>
              </w:rPr>
              <w:t>性</w:t>
            </w:r>
          </w:p>
        </w:tc>
        <w:tc>
          <w:tcPr>
            <w:tcW w:w="738"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530"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rsidTr="00E72A5C">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4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rsidP="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E72A5C">
              <w:rPr>
                <w:rFonts w:asciiTheme="minorEastAsia" w:eastAsiaTheme="minorEastAsia" w:hAnsiTheme="minorEastAsia" w:cs="宋体" w:hint="eastAsia"/>
                <w:sz w:val="21"/>
                <w:szCs w:val="21"/>
              </w:rPr>
              <w:t>11</w:t>
            </w:r>
            <w:r>
              <w:rPr>
                <w:rFonts w:asciiTheme="minorEastAsia" w:eastAsiaTheme="minorEastAsia" w:hAnsiTheme="minorEastAsia" w:cs="宋体" w:hint="eastAsia"/>
                <w:sz w:val="21"/>
                <w:szCs w:val="21"/>
              </w:rPr>
              <w:t>分）</w:t>
            </w:r>
          </w:p>
        </w:tc>
        <w:tc>
          <w:tcPr>
            <w:tcW w:w="2410"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738"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530" w:type="dxa"/>
            <w:vAlign w:val="center"/>
          </w:tcPr>
          <w:p w:rsidR="00852C43" w:rsidRDefault="006061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rsidTr="00E72A5C">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47"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2410"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“三公经费”变动率</w:t>
            </w:r>
          </w:p>
        </w:tc>
        <w:tc>
          <w:tcPr>
            <w:tcW w:w="738"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530" w:type="dxa"/>
            <w:vAlign w:val="center"/>
          </w:tcPr>
          <w:p w:rsidR="00852C43" w:rsidRDefault="006061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rsidTr="00E72A5C">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47"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2410"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重点支出安排率</w:t>
            </w:r>
          </w:p>
        </w:tc>
        <w:tc>
          <w:tcPr>
            <w:tcW w:w="738" w:type="dxa"/>
            <w:vAlign w:val="center"/>
          </w:tcPr>
          <w:p w:rsidR="00852C43" w:rsidRDefault="00E72A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530" w:type="dxa"/>
            <w:vAlign w:val="center"/>
          </w:tcPr>
          <w:p w:rsidR="00852C43" w:rsidRDefault="006061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rsidTr="00E72A5C">
        <w:trPr>
          <w:trHeight w:hRule="exact" w:val="454"/>
        </w:trPr>
        <w:tc>
          <w:tcPr>
            <w:tcW w:w="2806"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2410"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738" w:type="dxa"/>
            <w:vAlign w:val="center"/>
          </w:tcPr>
          <w:p w:rsidR="00852C43" w:rsidRDefault="006061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w:t>
            </w:r>
          </w:p>
        </w:tc>
        <w:tc>
          <w:tcPr>
            <w:tcW w:w="1530" w:type="dxa"/>
            <w:vAlign w:val="center"/>
          </w:tcPr>
          <w:p w:rsidR="00852C43" w:rsidRDefault="006061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t>1.绩效目标设定（</w:t>
      </w:r>
      <w:r w:rsidR="006061BD">
        <w:rPr>
          <w:rFonts w:ascii="仿宋_GB2312" w:eastAsia="仿宋_GB2312" w:cs="DengXian-Regular" w:hint="eastAsia"/>
          <w:sz w:val="32"/>
          <w:szCs w:val="32"/>
        </w:rPr>
        <w:t>7</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w:t>
      </w:r>
      <w:r w:rsidR="00DA1391">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w:t>
      </w:r>
      <w:r w:rsidR="00AE5731">
        <w:rPr>
          <w:rFonts w:ascii="仿宋_GB2312" w:eastAsia="仿宋_GB2312" w:cs="DengXian-Regular" w:hint="eastAsia"/>
          <w:sz w:val="32"/>
          <w:szCs w:val="32"/>
        </w:rPr>
        <w:t>区</w:t>
      </w:r>
      <w:r w:rsidR="00DA1391">
        <w:rPr>
          <w:rFonts w:ascii="仿宋_GB2312" w:eastAsia="仿宋_GB2312" w:cs="DengXian-Regular" w:hint="eastAsia"/>
          <w:sz w:val="32"/>
          <w:szCs w:val="32"/>
        </w:rPr>
        <w:t>工业和信息化局</w:t>
      </w:r>
      <w:r>
        <w:rPr>
          <w:rFonts w:ascii="仿宋_GB2312" w:eastAsia="仿宋_GB2312" w:cs="DengXian-Regular" w:hint="eastAsia"/>
          <w:sz w:val="32"/>
          <w:szCs w:val="32"/>
        </w:rPr>
        <w:t>职能配置</w:t>
      </w:r>
      <w:r w:rsidR="00DA1391">
        <w:rPr>
          <w:rFonts w:ascii="仿宋_GB2312" w:eastAsia="仿宋_GB2312" w:cs="DengXian-Regular" w:hint="eastAsia"/>
          <w:sz w:val="32"/>
          <w:szCs w:val="32"/>
        </w:rPr>
        <w:t>、内设机构和人员编制规定》和徐水区工业和信息化局</w:t>
      </w:r>
      <w:r w:rsidR="00570810">
        <w:rPr>
          <w:rFonts w:ascii="仿宋_GB2312" w:eastAsia="仿宋_GB2312" w:cs="DengXian-Regular" w:hint="eastAsia"/>
          <w:sz w:val="32"/>
          <w:szCs w:val="32"/>
        </w:rPr>
        <w:t>2019年预算文本—部门职责工作活动绩效目标及绩效目标一览表</w:t>
      </w:r>
      <w:r>
        <w:rPr>
          <w:rFonts w:ascii="仿宋_GB2312" w:eastAsia="仿宋_GB2312" w:cs="DengXian-Regular" w:hint="eastAsia"/>
          <w:sz w:val="32"/>
          <w:szCs w:val="32"/>
        </w:rPr>
        <w:t>，评价</w:t>
      </w:r>
      <w:r w:rsidR="00AE5731">
        <w:rPr>
          <w:rFonts w:ascii="仿宋_GB2312" w:eastAsia="仿宋_GB2312" w:cs="DengXian-Regular" w:hint="eastAsia"/>
          <w:sz w:val="32"/>
          <w:szCs w:val="32"/>
        </w:rPr>
        <w:t>区</w:t>
      </w:r>
      <w:r w:rsidR="00DA1391">
        <w:rPr>
          <w:rFonts w:ascii="仿宋_GB2312" w:eastAsia="仿宋_GB2312" w:cs="DengXian-Regular" w:hint="eastAsia"/>
          <w:sz w:val="32"/>
          <w:szCs w:val="32"/>
        </w:rPr>
        <w:t>工信局</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1391">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w:t>
      </w:r>
      <w:r w:rsidR="00570810">
        <w:rPr>
          <w:rFonts w:ascii="仿宋_GB2312" w:eastAsia="仿宋_GB2312" w:cs="DengXian-Regular" w:hint="eastAsia"/>
          <w:sz w:val="32"/>
          <w:szCs w:val="32"/>
        </w:rPr>
        <w:t>指</w:t>
      </w:r>
      <w:r>
        <w:rPr>
          <w:rFonts w:ascii="仿宋_GB2312" w:eastAsia="仿宋_GB2312" w:cs="DengXian-Regular" w:hint="eastAsia"/>
          <w:sz w:val="32"/>
          <w:szCs w:val="32"/>
        </w:rPr>
        <w:t>标明确性（</w:t>
      </w:r>
      <w:r w:rsidR="00570810">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w:t>
      </w:r>
      <w:r>
        <w:rPr>
          <w:rFonts w:ascii="仿宋_GB2312" w:eastAsia="仿宋_GB2312" w:cs="DengXian-Regular" w:hint="eastAsia"/>
          <w:sz w:val="32"/>
          <w:szCs w:val="32"/>
        </w:rPr>
        <w:lastRenderedPageBreak/>
        <w:t>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570810">
        <w:rPr>
          <w:rFonts w:ascii="仿宋_GB2312" w:eastAsia="仿宋_GB2312" w:cs="DengXian-Regular" w:hint="eastAsia"/>
          <w:sz w:val="32"/>
          <w:szCs w:val="32"/>
        </w:rPr>
        <w:t>工业和信息化局</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00570810">
        <w:rPr>
          <w:rFonts w:ascii="仿宋_GB2312" w:eastAsia="仿宋_GB2312" w:cs="DengXian-Regular" w:hint="eastAsia"/>
          <w:sz w:val="32"/>
          <w:szCs w:val="32"/>
        </w:rPr>
        <w:t>及绩效目标一览表</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570810">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w:t>
      </w:r>
      <w:r w:rsidR="00570810">
        <w:rPr>
          <w:rFonts w:ascii="仿宋_GB2312" w:eastAsia="仿宋_GB2312" w:cs="DengXian-Regular" w:hint="eastAsia"/>
          <w:sz w:val="32"/>
          <w:szCs w:val="32"/>
        </w:rPr>
        <w:t>11</w:t>
      </w:r>
      <w:r>
        <w:rPr>
          <w:rFonts w:ascii="仿宋_GB2312" w:eastAsia="仿宋_GB2312" w:cs="DengXian-Regular" w:hint="eastAsia"/>
          <w:sz w:val="32"/>
          <w:szCs w:val="32"/>
        </w:rPr>
        <w:t>分）</w:t>
      </w:r>
    </w:p>
    <w:p w:rsidR="00570810" w:rsidRDefault="002F5BF5"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00570810">
        <w:rPr>
          <w:rFonts w:ascii="仿宋_GB2312" w:eastAsia="仿宋_GB2312" w:cs="DengXian-Regular" w:hint="eastAsia"/>
          <w:sz w:val="32"/>
          <w:szCs w:val="32"/>
        </w:rPr>
        <w:t>在职人员控制率（1分）</w:t>
      </w:r>
    </w:p>
    <w:p w:rsidR="00570810" w:rsidRDefault="00570810"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该指标主要考核截至2019年底区工信局在职人员控制情况，通过在职人员控制率衡量。</w:t>
      </w:r>
    </w:p>
    <w:p w:rsidR="00570810" w:rsidRDefault="00570810"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570810" w:rsidRDefault="00570810"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区工业和信息化职能配置、内设机构和人员编制规定》的通知，徐水区工信局人员编制为12人，根据区工信局2019年决算-部门基本数字表，截至2019年底，在职人员43人，在职人员控制率=（43/12）*100%=358.33%。</w:t>
      </w:r>
    </w:p>
    <w:p w:rsidR="00852C43" w:rsidRDefault="00570810"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570810">
        <w:rPr>
          <w:rFonts w:ascii="仿宋_GB2312" w:eastAsia="仿宋_GB2312" w:cs="DengXian-Regular" w:hint="eastAsia"/>
          <w:sz w:val="32"/>
          <w:szCs w:val="32"/>
        </w:rPr>
        <w:t>“三公经费”变动</w:t>
      </w:r>
      <w:r>
        <w:rPr>
          <w:rFonts w:ascii="仿宋_GB2312" w:eastAsia="仿宋_GB2312" w:cs="DengXian-Regular" w:hint="eastAsia"/>
          <w:sz w:val="32"/>
          <w:szCs w:val="32"/>
        </w:rPr>
        <w:t>率（</w:t>
      </w:r>
      <w:r w:rsidR="00AE7F83">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w:t>
      </w:r>
      <w:r w:rsidR="00570810">
        <w:rPr>
          <w:rFonts w:ascii="仿宋_GB2312" w:eastAsia="仿宋_GB2312" w:cs="DengXian-Regular" w:hint="eastAsia"/>
          <w:sz w:val="32"/>
          <w:szCs w:val="32"/>
        </w:rPr>
        <w:t>“三公经费”</w:t>
      </w:r>
      <w:r>
        <w:rPr>
          <w:rFonts w:ascii="仿宋_GB2312" w:eastAsia="仿宋_GB2312" w:cs="DengXian-Regular" w:hint="eastAsia"/>
          <w:sz w:val="32"/>
          <w:szCs w:val="32"/>
        </w:rPr>
        <w:t>支出</w:t>
      </w:r>
      <w:r w:rsidR="00570810">
        <w:rPr>
          <w:rFonts w:ascii="仿宋_GB2312" w:eastAsia="仿宋_GB2312" w:cs="DengXian-Regular" w:hint="eastAsia"/>
          <w:sz w:val="32"/>
          <w:szCs w:val="32"/>
        </w:rPr>
        <w:t>预算与上年度“三公经费”预算相比</w:t>
      </w:r>
      <w:r w:rsidR="00AE7F83">
        <w:rPr>
          <w:rFonts w:ascii="仿宋_GB2312" w:eastAsia="仿宋_GB2312" w:cs="DengXian-Regular" w:hint="eastAsia"/>
          <w:sz w:val="32"/>
          <w:szCs w:val="32"/>
        </w:rPr>
        <w:t>增减</w:t>
      </w:r>
      <w:r w:rsidR="00570810">
        <w:rPr>
          <w:rFonts w:ascii="仿宋_GB2312" w:eastAsia="仿宋_GB2312" w:cs="DengXian-Regular" w:hint="eastAsia"/>
          <w:sz w:val="32"/>
          <w:szCs w:val="32"/>
        </w:rPr>
        <w:t>变化情况，通过“三公经费”变动</w:t>
      </w:r>
      <w:r>
        <w:rPr>
          <w:rFonts w:ascii="仿宋_GB2312" w:eastAsia="仿宋_GB2312" w:cs="DengXian-Regular" w:hint="eastAsia"/>
          <w:sz w:val="32"/>
          <w:szCs w:val="32"/>
        </w:rPr>
        <w:t>率衡量。</w:t>
      </w:r>
    </w:p>
    <w:p w:rsidR="00852C43" w:rsidRDefault="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“三公经费”变动</w:t>
      </w:r>
      <w:r w:rsidR="002F5BF5">
        <w:rPr>
          <w:rFonts w:ascii="仿宋_GB2312" w:eastAsia="仿宋_GB2312" w:cs="DengXian-Regular" w:hint="eastAsia"/>
          <w:sz w:val="32"/>
          <w:szCs w:val="32"/>
        </w:rPr>
        <w:t>率=</w:t>
      </w:r>
      <w:r>
        <w:rPr>
          <w:rFonts w:ascii="仿宋_GB2312" w:eastAsia="仿宋_GB2312" w:cs="DengXian-Regular" w:hint="eastAsia"/>
          <w:sz w:val="32"/>
          <w:szCs w:val="32"/>
        </w:rPr>
        <w:t>（2019年“三公经费”预算</w:t>
      </w:r>
      <w:r w:rsidR="002F5BF5">
        <w:rPr>
          <w:rFonts w:ascii="仿宋_GB2312" w:eastAsia="仿宋_GB2312" w:cs="DengXian-Regular" w:hint="eastAsia"/>
          <w:sz w:val="32"/>
          <w:szCs w:val="32"/>
        </w:rPr>
        <w:t>金额</w:t>
      </w:r>
      <w:r>
        <w:rPr>
          <w:rFonts w:ascii="仿宋_GB2312" w:eastAsia="仿宋_GB2312" w:cs="DengXian-Regular" w:hint="eastAsia"/>
          <w:sz w:val="32"/>
          <w:szCs w:val="32"/>
        </w:rPr>
        <w:t>-2018年“三公经费”预算金额）</w:t>
      </w:r>
      <w:r w:rsidR="002F5BF5">
        <w:rPr>
          <w:rFonts w:ascii="仿宋_GB2312" w:eastAsia="仿宋_GB2312" w:cs="DengXian-Regular" w:hint="eastAsia"/>
          <w:sz w:val="32"/>
          <w:szCs w:val="32"/>
        </w:rPr>
        <w:t>/</w:t>
      </w:r>
      <w:r>
        <w:rPr>
          <w:rFonts w:ascii="仿宋_GB2312" w:eastAsia="仿宋_GB2312" w:cs="DengXian-Regular" w:hint="eastAsia"/>
          <w:sz w:val="32"/>
          <w:szCs w:val="32"/>
        </w:rPr>
        <w:t>2018年“三公经费”预算金额</w:t>
      </w:r>
      <w:r w:rsidR="002F5BF5">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570810">
        <w:rPr>
          <w:rFonts w:ascii="仿宋_GB2312" w:eastAsia="仿宋_GB2312" w:cs="DengXian-Regular" w:hint="eastAsia"/>
          <w:sz w:val="32"/>
          <w:szCs w:val="32"/>
        </w:rPr>
        <w:t>工信局2018年和</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w:t>
      </w:r>
      <w:r w:rsidR="00570810">
        <w:rPr>
          <w:rFonts w:ascii="仿宋_GB2312" w:eastAsia="仿宋_GB2312" w:cs="DengXian-Regular" w:hint="eastAsia"/>
          <w:sz w:val="32"/>
          <w:szCs w:val="32"/>
        </w:rPr>
        <w:t>“三公经费”</w:t>
      </w:r>
      <w:r>
        <w:rPr>
          <w:rFonts w:ascii="仿宋_GB2312" w:eastAsia="仿宋_GB2312" w:cs="DengXian-Regular" w:hint="eastAsia"/>
          <w:sz w:val="32"/>
          <w:szCs w:val="32"/>
        </w:rPr>
        <w:t>预算表，</w:t>
      </w:r>
      <w:r w:rsidR="00570810">
        <w:rPr>
          <w:rFonts w:ascii="仿宋_GB2312" w:eastAsia="仿宋_GB2312" w:cs="DengXian-Regular" w:hint="eastAsia"/>
          <w:sz w:val="32"/>
          <w:szCs w:val="32"/>
        </w:rPr>
        <w:t>区工信</w:t>
      </w:r>
      <w:r>
        <w:rPr>
          <w:rFonts w:ascii="仿宋_GB2312" w:eastAsia="仿宋_GB2312" w:cs="DengXian-Regular" w:hint="eastAsia"/>
          <w:sz w:val="32"/>
          <w:szCs w:val="32"/>
        </w:rPr>
        <w:t>局</w:t>
      </w:r>
      <w:r w:rsidR="00570810">
        <w:rPr>
          <w:rFonts w:ascii="仿宋_GB2312" w:eastAsia="仿宋_GB2312" w:cs="DengXian-Regular" w:hint="eastAsia"/>
          <w:sz w:val="32"/>
          <w:szCs w:val="32"/>
        </w:rPr>
        <w:t>2018年和</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w:t>
      </w:r>
      <w:r w:rsidR="00570810">
        <w:rPr>
          <w:rFonts w:ascii="仿宋_GB2312" w:eastAsia="仿宋_GB2312" w:cs="DengXian-Regular" w:hint="eastAsia"/>
          <w:sz w:val="32"/>
          <w:szCs w:val="32"/>
        </w:rPr>
        <w:t>“三公经费”预算金额均为12.7</w:t>
      </w:r>
      <w:r>
        <w:rPr>
          <w:rFonts w:ascii="仿宋_GB2312" w:eastAsia="仿宋_GB2312" w:cs="DengXian-Regular" w:hint="eastAsia"/>
          <w:sz w:val="32"/>
          <w:szCs w:val="32"/>
        </w:rPr>
        <w:t>万元，</w:t>
      </w:r>
      <w:r w:rsidR="00AE7F83">
        <w:rPr>
          <w:rFonts w:ascii="仿宋_GB2312" w:eastAsia="仿宋_GB2312" w:cs="DengXian-Regular" w:hint="eastAsia"/>
          <w:sz w:val="32"/>
          <w:szCs w:val="32"/>
        </w:rPr>
        <w:t>相比无增减变化</w:t>
      </w:r>
      <w:r>
        <w:rPr>
          <w:rFonts w:ascii="仿宋_GB2312" w:eastAsia="仿宋_GB2312" w:cs="DengXian-Regular" w:hint="eastAsia"/>
          <w:sz w:val="32"/>
          <w:szCs w:val="32"/>
        </w:rPr>
        <w:t>。</w:t>
      </w:r>
      <w:r w:rsidR="00AE7F83">
        <w:rPr>
          <w:rFonts w:ascii="仿宋_GB2312" w:eastAsia="仿宋_GB2312" w:cs="DengXian-Regular" w:hint="eastAsia"/>
          <w:sz w:val="32"/>
          <w:szCs w:val="32"/>
        </w:rPr>
        <w:t>“三公经费”变动率</w:t>
      </w:r>
      <w:r>
        <w:rPr>
          <w:rFonts w:ascii="仿宋_GB2312" w:eastAsia="仿宋_GB2312" w:cs="DengXian-Regular" w:hint="eastAsia"/>
          <w:sz w:val="32"/>
          <w:szCs w:val="32"/>
        </w:rPr>
        <w:t>=（</w:t>
      </w:r>
      <w:r w:rsidR="00AE7F83">
        <w:rPr>
          <w:rFonts w:ascii="仿宋_GB2312" w:eastAsia="仿宋_GB2312" w:cs="DengXian-Regular" w:hint="eastAsia"/>
          <w:sz w:val="32"/>
          <w:szCs w:val="32"/>
        </w:rPr>
        <w:t>12.7-12.7</w:t>
      </w:r>
      <w:r>
        <w:rPr>
          <w:rFonts w:ascii="仿宋_GB2312" w:eastAsia="仿宋_GB2312" w:cs="DengXian-Regular" w:hint="eastAsia"/>
          <w:sz w:val="32"/>
          <w:szCs w:val="32"/>
        </w:rPr>
        <w:t>）</w:t>
      </w:r>
      <w:r w:rsidR="00AE7F83">
        <w:rPr>
          <w:rFonts w:ascii="仿宋_GB2312" w:eastAsia="仿宋_GB2312" w:cs="DengXian-Regular" w:hint="eastAsia"/>
          <w:sz w:val="32"/>
          <w:szCs w:val="32"/>
        </w:rPr>
        <w:t>/12.7</w:t>
      </w:r>
      <w:r>
        <w:rPr>
          <w:rFonts w:ascii="仿宋_GB2312" w:eastAsia="仿宋_GB2312" w:cs="DengXian-Regular" w:hint="eastAsia"/>
          <w:sz w:val="32"/>
          <w:szCs w:val="32"/>
        </w:rPr>
        <w:t>*100%=</w:t>
      </w:r>
      <w:r w:rsidR="00AE7F83">
        <w:rPr>
          <w:rFonts w:ascii="仿宋_GB2312" w:eastAsia="仿宋_GB2312" w:cs="DengXian-Regular" w:hint="eastAsia"/>
          <w:sz w:val="32"/>
          <w:szCs w:val="32"/>
        </w:rPr>
        <w:t>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E7F83">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AE7F83">
        <w:rPr>
          <w:rFonts w:ascii="仿宋_GB2312" w:eastAsia="仿宋_GB2312" w:cs="DengXian-Regular" w:hint="eastAsia"/>
          <w:sz w:val="32"/>
          <w:szCs w:val="32"/>
        </w:rPr>
        <w:t>重点支出安排率（5分）</w:t>
      </w:r>
    </w:p>
    <w:p w:rsidR="00AE7F83" w:rsidRDefault="00AE7F83"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该指标主要评价2019年重点项目支出所占项目总支出的比重，通过重点支出安排率衡量。</w:t>
      </w:r>
    </w:p>
    <w:p w:rsidR="00AE7F83" w:rsidRDefault="00AE7F83" w:rsidP="00570810">
      <w:pPr>
        <w:spacing w:after="0" w:line="360" w:lineRule="auto"/>
        <w:ind w:firstLineChars="200" w:firstLine="640"/>
        <w:jc w:val="both"/>
        <w:textAlignment w:val="baseline"/>
        <w:rPr>
          <w:rFonts w:ascii="仿宋_GB2312" w:eastAsia="仿宋_GB2312" w:cs="DengXian-Regular"/>
          <w:sz w:val="32"/>
          <w:szCs w:val="32"/>
        </w:rPr>
      </w:pPr>
      <w:r w:rsidRPr="00AE7F83">
        <w:rPr>
          <w:rFonts w:ascii="仿宋_GB2312" w:eastAsia="仿宋_GB2312" w:cs="DengXian-Regular" w:hint="eastAsia"/>
          <w:sz w:val="32"/>
          <w:szCs w:val="32"/>
        </w:rPr>
        <w:t>重点支出安排率=（重点项目支出/项目总支出）×100%。</w:t>
      </w:r>
    </w:p>
    <w:p w:rsidR="00AE7F83" w:rsidRDefault="00AE7F83"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根据区工信局2019年项目支出决算表，区工信局2019年项目总支出705.06万元，其中重点项目支出692.06万元。</w:t>
      </w:r>
      <w:r w:rsidRPr="00AE7F83">
        <w:rPr>
          <w:rFonts w:ascii="仿宋_GB2312" w:eastAsia="仿宋_GB2312" w:cs="DengXian-Regular" w:hint="eastAsia"/>
          <w:sz w:val="32"/>
          <w:szCs w:val="32"/>
        </w:rPr>
        <w:t>重点支出安排率=</w:t>
      </w:r>
      <w:r>
        <w:rPr>
          <w:rFonts w:ascii="仿宋_GB2312" w:eastAsia="仿宋_GB2312" w:cs="DengXian-Regular" w:hint="eastAsia"/>
          <w:sz w:val="32"/>
          <w:szCs w:val="32"/>
        </w:rPr>
        <w:t>（692.06/705.06）*100%=98.16%。</w:t>
      </w:r>
    </w:p>
    <w:p w:rsidR="00AE7F83" w:rsidRPr="00AE7F83" w:rsidRDefault="00AE7F83" w:rsidP="005708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852C43" w:rsidRDefault="002F5BF5">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t>（二）过程（</w:t>
      </w:r>
      <w:r w:rsidR="003D5FB6">
        <w:rPr>
          <w:rFonts w:ascii="楷体" w:eastAsia="楷体" w:hAnsi="楷体" w:hint="eastAsia"/>
          <w:sz w:val="32"/>
        </w:rPr>
        <w:t>46</w:t>
      </w:r>
      <w:r>
        <w:rPr>
          <w:rFonts w:ascii="楷体" w:eastAsia="楷体" w:hAnsi="楷体" w:hint="eastAsia"/>
          <w:sz w:val="32"/>
        </w:rPr>
        <w:t>分）</w:t>
      </w:r>
      <w:bookmarkEnd w:id="63"/>
    </w:p>
    <w:p w:rsidR="00852C43" w:rsidRDefault="003D5FB6">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w:t>
      </w:r>
      <w:r w:rsidR="002F5BF5">
        <w:rPr>
          <w:rFonts w:ascii="仿宋_GB2312" w:eastAsia="仿宋_GB2312" w:cs="DengXian-Regular" w:hint="eastAsia"/>
          <w:sz w:val="32"/>
          <w:szCs w:val="32"/>
        </w:rPr>
        <w:t>预算管理</w:t>
      </w:r>
      <w:r>
        <w:rPr>
          <w:rFonts w:ascii="仿宋_GB2312" w:eastAsia="仿宋_GB2312" w:cs="DengXian-Regular" w:hint="eastAsia"/>
          <w:sz w:val="32"/>
          <w:szCs w:val="32"/>
        </w:rPr>
        <w:t>和资产管理三</w:t>
      </w:r>
      <w:r w:rsidR="002F5BF5">
        <w:rPr>
          <w:rFonts w:ascii="仿宋_GB2312" w:eastAsia="仿宋_GB2312" w:cs="DengXian-Regular" w:hint="eastAsia"/>
          <w:sz w:val="32"/>
          <w:szCs w:val="32"/>
        </w:rPr>
        <w:t>个二级指标，主要反映预算调整、收入支出完成情况，“三公”经费、政府采购执行情况，财务管理是否规范、资金使用是否合规</w:t>
      </w:r>
      <w:r>
        <w:rPr>
          <w:rFonts w:ascii="仿宋_GB2312" w:eastAsia="仿宋_GB2312" w:cs="DengXian-Regular" w:hint="eastAsia"/>
          <w:sz w:val="32"/>
          <w:szCs w:val="32"/>
        </w:rPr>
        <w:t>、资产管理是否全面及</w:t>
      </w:r>
      <w:r w:rsidR="002F5BF5">
        <w:rPr>
          <w:rFonts w:ascii="仿宋_GB2312" w:eastAsia="仿宋_GB2312" w:cs="DengXian-Regular" w:hint="eastAsia"/>
          <w:sz w:val="32"/>
          <w:szCs w:val="32"/>
        </w:rPr>
        <w:t>决算</w:t>
      </w:r>
      <w:r>
        <w:rPr>
          <w:rFonts w:ascii="仿宋_GB2312" w:eastAsia="仿宋_GB2312" w:cs="DengXian-Regular" w:hint="eastAsia"/>
          <w:sz w:val="32"/>
          <w:szCs w:val="32"/>
        </w:rPr>
        <w:t>的</w:t>
      </w:r>
      <w:r w:rsidR="002F5BF5">
        <w:rPr>
          <w:rFonts w:ascii="仿宋_GB2312" w:eastAsia="仿宋_GB2312" w:cs="DengXian-Regular" w:hint="eastAsia"/>
          <w:sz w:val="32"/>
          <w:szCs w:val="32"/>
        </w:rPr>
        <w:t>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D5FB6">
        <w:trPr>
          <w:trHeight w:hRule="exact" w:val="397"/>
          <w:jc w:val="center"/>
        </w:trPr>
        <w:tc>
          <w:tcPr>
            <w:tcW w:w="1557" w:type="dxa"/>
            <w:vMerge w:val="restart"/>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过程（46分）</w:t>
            </w:r>
          </w:p>
        </w:tc>
        <w:tc>
          <w:tcPr>
            <w:tcW w:w="1388" w:type="dxa"/>
            <w:vMerge w:val="restart"/>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3D5FB6" w:rsidRDefault="003D5FB6" w:rsidP="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（23分）</w:t>
            </w:r>
          </w:p>
        </w:tc>
        <w:tc>
          <w:tcPr>
            <w:tcW w:w="2277" w:type="dxa"/>
            <w:vAlign w:val="center"/>
          </w:tcPr>
          <w:p w:rsidR="003D5FB6" w:rsidRDefault="003D5FB6" w:rsidP="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预算调整率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支付进度率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预算完成率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结转结余变动率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公用经费控制率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3D5FB6" w:rsidRDefault="003D5FB6" w:rsidP="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（13分）</w:t>
            </w: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D5FB6">
        <w:trPr>
          <w:trHeight w:hRule="exact" w:val="39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D5FB6">
        <w:trPr>
          <w:trHeight w:hRule="exact" w:val="467"/>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w:t>
            </w:r>
          </w:p>
          <w:p w:rsidR="003D5FB6" w:rsidRDefault="003D5FB6" w:rsidP="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（10分）</w:t>
            </w: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D5FB6">
        <w:trPr>
          <w:trHeight w:hRule="exact" w:val="482"/>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资产管理安全性</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D5FB6">
        <w:trPr>
          <w:trHeight w:hRule="exact" w:val="482"/>
          <w:jc w:val="center"/>
        </w:trPr>
        <w:tc>
          <w:tcPr>
            <w:tcW w:w="1557"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1388" w:type="dxa"/>
            <w:vMerge/>
            <w:vAlign w:val="center"/>
          </w:tcPr>
          <w:p w:rsidR="003D5FB6" w:rsidRDefault="003D5FB6">
            <w:pPr>
              <w:spacing w:line="420" w:lineRule="exact"/>
              <w:jc w:val="center"/>
              <w:rPr>
                <w:rFonts w:asciiTheme="minorEastAsia" w:eastAsiaTheme="minorEastAsia" w:hAnsiTheme="minorEastAsia" w:cs="宋体"/>
                <w:sz w:val="21"/>
                <w:szCs w:val="21"/>
              </w:rPr>
            </w:pPr>
          </w:p>
        </w:tc>
        <w:tc>
          <w:tcPr>
            <w:tcW w:w="2277"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固定资产利用率</w:t>
            </w:r>
          </w:p>
        </w:tc>
        <w:tc>
          <w:tcPr>
            <w:tcW w:w="1155"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D5FB6" w:rsidRDefault="003D5FB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AE0A3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41</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1.预算执行（</w:t>
      </w:r>
      <w:r w:rsidR="00AE0A39">
        <w:rPr>
          <w:rFonts w:ascii="仿宋_GB2312" w:eastAsia="仿宋_GB2312" w:cs="DengXian-Regular" w:hint="eastAsia"/>
          <w:sz w:val="32"/>
          <w:szCs w:val="32"/>
        </w:rPr>
        <w:t>23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AE0A39">
        <w:rPr>
          <w:rFonts w:ascii="仿宋_GB2312" w:eastAsia="仿宋_GB2312" w:cs="DengXian-Regular" w:hint="eastAsia"/>
          <w:sz w:val="32"/>
          <w:szCs w:val="32"/>
        </w:rPr>
        <w:t>工信局</w:t>
      </w:r>
      <w:r>
        <w:rPr>
          <w:rFonts w:ascii="仿宋_GB2312" w:eastAsia="仿宋_GB2312" w:cs="DengXian-Regular" w:hint="eastAsia"/>
          <w:sz w:val="32"/>
          <w:szCs w:val="32"/>
        </w:rPr>
        <w:t>的预算指标文件，其中</w:t>
      </w:r>
      <w:r w:rsidR="00AE0A39">
        <w:rPr>
          <w:rFonts w:ascii="仿宋_GB2312" w:eastAsia="仿宋_GB2312" w:cs="DengXian-Regular" w:hint="eastAsia"/>
          <w:sz w:val="32"/>
          <w:szCs w:val="32"/>
        </w:rPr>
        <w:t>主要几项</w:t>
      </w:r>
      <w:r>
        <w:rPr>
          <w:rFonts w:ascii="仿宋_GB2312" w:eastAsia="仿宋_GB2312" w:cs="DengXian-Regular" w:hint="eastAsia"/>
          <w:sz w:val="32"/>
          <w:szCs w:val="32"/>
        </w:rPr>
        <w:t>：徐财预指[201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AE0A39">
        <w:rPr>
          <w:rFonts w:ascii="仿宋_GB2312" w:eastAsia="仿宋_GB2312" w:cs="DengXian-Regular" w:hint="eastAsia"/>
          <w:sz w:val="32"/>
          <w:szCs w:val="32"/>
        </w:rPr>
        <w:t>2-1173</w:t>
      </w:r>
      <w:r>
        <w:rPr>
          <w:rFonts w:ascii="仿宋_GB2312" w:eastAsia="仿宋_GB2312" w:cs="DengXian-Regular" w:hint="eastAsia"/>
          <w:sz w:val="32"/>
          <w:szCs w:val="32"/>
        </w:rPr>
        <w:t>号追</w:t>
      </w:r>
      <w:r w:rsidR="00AE0A39">
        <w:rPr>
          <w:rFonts w:ascii="仿宋_GB2312" w:eastAsia="仿宋_GB2312" w:cs="DengXian-Regular" w:hint="eastAsia"/>
          <w:sz w:val="32"/>
          <w:szCs w:val="32"/>
        </w:rPr>
        <w:t>减上级提前下达中央外经贸发展专项资金160</w:t>
      </w:r>
      <w:r>
        <w:rPr>
          <w:rFonts w:ascii="仿宋_GB2312" w:eastAsia="仿宋_GB2312" w:cs="DengXian-Regular" w:hint="eastAsia"/>
          <w:sz w:val="32"/>
          <w:szCs w:val="32"/>
        </w:rPr>
        <w:t>万元；徐财预指[201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AE0A39">
        <w:rPr>
          <w:rFonts w:ascii="仿宋_GB2312" w:eastAsia="仿宋_GB2312" w:cs="DengXian-Regular" w:hint="eastAsia"/>
          <w:sz w:val="32"/>
          <w:szCs w:val="32"/>
        </w:rPr>
        <w:t>2-1063</w:t>
      </w:r>
      <w:r>
        <w:rPr>
          <w:rFonts w:ascii="仿宋_GB2312" w:eastAsia="仿宋_GB2312" w:cs="DengXian-Regular" w:hint="eastAsia"/>
          <w:sz w:val="32"/>
          <w:szCs w:val="32"/>
        </w:rPr>
        <w:t>号追加</w:t>
      </w:r>
      <w:r w:rsidR="00AE0A39">
        <w:rPr>
          <w:rFonts w:ascii="仿宋_GB2312" w:eastAsia="仿宋_GB2312" w:cs="DengXian-Regular" w:hint="eastAsia"/>
          <w:sz w:val="32"/>
          <w:szCs w:val="32"/>
        </w:rPr>
        <w:t>上级下达</w:t>
      </w:r>
      <w:r w:rsidR="00AE0A39">
        <w:rPr>
          <w:rFonts w:ascii="仿宋_GB2312" w:eastAsia="仿宋_GB2312" w:cs="DengXian-Regular" w:hint="eastAsia"/>
          <w:sz w:val="32"/>
          <w:szCs w:val="32"/>
        </w:rPr>
        <w:lastRenderedPageBreak/>
        <w:t>2019年省级工业转型升级（技改）资金320万元</w:t>
      </w:r>
      <w:r>
        <w:rPr>
          <w:rFonts w:ascii="仿宋_GB2312" w:eastAsia="仿宋_GB2312" w:cs="DengXian-Regular" w:hint="eastAsia"/>
          <w:sz w:val="32"/>
          <w:szCs w:val="32"/>
        </w:rPr>
        <w:t>；徐财预指</w:t>
      </w:r>
      <w:r w:rsidR="00AE5731">
        <w:rPr>
          <w:rFonts w:ascii="仿宋_GB2312" w:eastAsia="仿宋_GB2312" w:cs="DengXian-Regular" w:hint="eastAsia"/>
          <w:sz w:val="32"/>
          <w:szCs w:val="32"/>
        </w:rPr>
        <w:t>[2019]</w:t>
      </w:r>
      <w:r w:rsidR="00AE0A39">
        <w:rPr>
          <w:rFonts w:ascii="仿宋_GB2312" w:eastAsia="仿宋_GB2312" w:cs="DengXian-Regular" w:hint="eastAsia"/>
          <w:sz w:val="32"/>
          <w:szCs w:val="32"/>
        </w:rPr>
        <w:t>2-1146</w:t>
      </w:r>
      <w:r w:rsidR="00AE5731">
        <w:rPr>
          <w:rFonts w:ascii="仿宋_GB2312" w:eastAsia="仿宋_GB2312" w:cs="DengXian-Regular" w:hint="eastAsia"/>
          <w:sz w:val="32"/>
          <w:szCs w:val="32"/>
        </w:rPr>
        <w:t>号</w:t>
      </w:r>
      <w:r>
        <w:rPr>
          <w:rFonts w:ascii="仿宋_GB2312" w:eastAsia="仿宋_GB2312" w:cs="DengXian-Regular" w:hint="eastAsia"/>
          <w:sz w:val="32"/>
          <w:szCs w:val="32"/>
        </w:rPr>
        <w:t>号追加</w:t>
      </w:r>
      <w:r w:rsidR="00AE0A39">
        <w:rPr>
          <w:rFonts w:ascii="仿宋_GB2312" w:eastAsia="仿宋_GB2312" w:cs="DengXian-Regular" w:hint="eastAsia"/>
          <w:sz w:val="32"/>
          <w:szCs w:val="32"/>
        </w:rPr>
        <w:t>上级下达2019年省级工业转型升级（技改）专项资金285</w:t>
      </w:r>
      <w:r>
        <w:rPr>
          <w:rFonts w:ascii="仿宋_GB2312" w:eastAsia="仿宋_GB2312" w:cs="DengXian-Regular" w:hint="eastAsia"/>
          <w:sz w:val="32"/>
          <w:szCs w:val="32"/>
        </w:rPr>
        <w:t>万元</w:t>
      </w:r>
      <w:r w:rsidR="00AE0A39">
        <w:rPr>
          <w:rFonts w:ascii="仿宋_GB2312" w:eastAsia="仿宋_GB2312" w:cs="DengXian-Regular" w:hint="eastAsia"/>
          <w:sz w:val="32"/>
          <w:szCs w:val="32"/>
        </w:rPr>
        <w:t>。区工信局预算调整主要原因为上级下达的专项资金增加及机构改革部门职责划转导致的项目资金调整。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447F8">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2447F8">
        <w:rPr>
          <w:rFonts w:ascii="仿宋_GB2312" w:eastAsia="仿宋_GB2312" w:cs="DengXian-Regular" w:hint="eastAsia"/>
          <w:sz w:val="32"/>
          <w:szCs w:val="32"/>
        </w:rPr>
        <w:t>支付进度</w:t>
      </w:r>
      <w:r>
        <w:rPr>
          <w:rFonts w:ascii="仿宋_GB2312" w:eastAsia="仿宋_GB2312" w:cs="DengXian-Regular" w:hint="eastAsia"/>
          <w:sz w:val="32"/>
          <w:szCs w:val="32"/>
        </w:rPr>
        <w:t>率（</w:t>
      </w:r>
      <w:r w:rsidR="006D1900">
        <w:rPr>
          <w:rFonts w:ascii="仿宋_GB2312" w:eastAsia="仿宋_GB2312" w:cs="DengXian-Regular" w:hint="eastAsia"/>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002447F8">
        <w:rPr>
          <w:rFonts w:ascii="仿宋_GB2312" w:eastAsia="仿宋_GB2312" w:cs="DengXian-Regular" w:hint="eastAsia"/>
          <w:sz w:val="32"/>
          <w:szCs w:val="32"/>
        </w:rPr>
        <w:t>支出进度的</w:t>
      </w:r>
      <w:r>
        <w:rPr>
          <w:rFonts w:ascii="仿宋_GB2312" w:eastAsia="仿宋_GB2312" w:cs="DengXian-Regular" w:hint="eastAsia"/>
          <w:sz w:val="32"/>
          <w:szCs w:val="32"/>
        </w:rPr>
        <w:t>完成情况，用以反映部门预算</w:t>
      </w:r>
      <w:r w:rsidR="002447F8">
        <w:rPr>
          <w:rFonts w:ascii="仿宋_GB2312" w:eastAsia="仿宋_GB2312" w:cs="DengXian-Regular" w:hint="eastAsia"/>
          <w:sz w:val="32"/>
          <w:szCs w:val="32"/>
        </w:rPr>
        <w:t>支出</w:t>
      </w:r>
      <w:r>
        <w:rPr>
          <w:rFonts w:ascii="仿宋_GB2312" w:eastAsia="仿宋_GB2312" w:cs="DengXian-Regular" w:hint="eastAsia"/>
          <w:sz w:val="32"/>
          <w:szCs w:val="32"/>
        </w:rPr>
        <w:t>的完成程度，通过</w:t>
      </w:r>
      <w:r w:rsidR="002447F8">
        <w:rPr>
          <w:rFonts w:ascii="仿宋_GB2312" w:eastAsia="仿宋_GB2312" w:cs="DengXian-Regular" w:hint="eastAsia"/>
          <w:sz w:val="32"/>
          <w:szCs w:val="32"/>
        </w:rPr>
        <w:t>支付进度</w:t>
      </w:r>
      <w:r>
        <w:rPr>
          <w:rFonts w:ascii="仿宋_GB2312" w:eastAsia="仿宋_GB2312" w:cs="DengXian-Regular" w:hint="eastAsia"/>
          <w:sz w:val="32"/>
          <w:szCs w:val="32"/>
        </w:rPr>
        <w:t>率衡量。</w:t>
      </w:r>
    </w:p>
    <w:p w:rsidR="002447F8" w:rsidRDefault="002447F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支付进度</w:t>
      </w:r>
      <w:r w:rsidR="002F5BF5">
        <w:rPr>
          <w:rFonts w:ascii="仿宋_GB2312" w:eastAsia="仿宋_GB2312" w:cs="DengXian-Regular" w:hint="eastAsia"/>
          <w:sz w:val="32"/>
          <w:szCs w:val="32"/>
        </w:rPr>
        <w:t>率=</w:t>
      </w:r>
      <w:r w:rsidRPr="002447F8">
        <w:rPr>
          <w:rFonts w:ascii="仿宋_GB2312" w:eastAsia="仿宋_GB2312" w:cs="DengXian-Regular" w:hint="eastAsia"/>
          <w:sz w:val="32"/>
          <w:szCs w:val="32"/>
        </w:rPr>
        <w:t>（实际支付进度/既定支付进度）×100%。</w:t>
      </w:r>
    </w:p>
    <w:p w:rsidR="00F5474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33233">
        <w:rPr>
          <w:rFonts w:ascii="仿宋_GB2312" w:eastAsia="仿宋_GB2312" w:cs="DengXian-Regular" w:hint="eastAsia"/>
          <w:sz w:val="32"/>
          <w:szCs w:val="32"/>
        </w:rPr>
        <w:t>徐政财字【2019】76号文件</w:t>
      </w:r>
      <w:r w:rsidR="002447F8">
        <w:rPr>
          <w:rFonts w:ascii="仿宋_GB2312" w:eastAsia="仿宋_GB2312" w:cs="DengXian-Regular" w:hint="eastAsia"/>
          <w:sz w:val="32"/>
          <w:szCs w:val="32"/>
        </w:rPr>
        <w:t>，区工信局2019年</w:t>
      </w:r>
      <w:r w:rsidR="002447F8" w:rsidRPr="00A33233">
        <w:rPr>
          <w:rFonts w:ascii="仿宋_GB2312" w:eastAsia="仿宋_GB2312" w:cs="DengXian-Regular" w:hint="eastAsia"/>
          <w:sz w:val="32"/>
          <w:szCs w:val="32"/>
        </w:rPr>
        <w:t>9月支出进度</w:t>
      </w:r>
      <w:r w:rsidR="00A33233">
        <w:rPr>
          <w:rFonts w:ascii="仿宋_GB2312" w:eastAsia="仿宋_GB2312" w:cs="DengXian-Regular" w:hint="eastAsia"/>
          <w:sz w:val="32"/>
          <w:szCs w:val="32"/>
        </w:rPr>
        <w:t>56%，落后时间进度19个百分点。</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54747">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sidRPr="006D1900">
        <w:rPr>
          <w:rFonts w:ascii="仿宋_GB2312" w:eastAsia="仿宋_GB2312" w:cs="DengXian-Regular" w:hint="eastAsia"/>
          <w:sz w:val="32"/>
          <w:szCs w:val="32"/>
        </w:rPr>
        <w:t>（3）预算</w:t>
      </w:r>
      <w:r w:rsidR="006D1900" w:rsidRPr="006D1900">
        <w:rPr>
          <w:rFonts w:ascii="仿宋_GB2312" w:eastAsia="仿宋_GB2312" w:cs="DengXian-Regular" w:hint="eastAsia"/>
          <w:sz w:val="32"/>
          <w:szCs w:val="32"/>
        </w:rPr>
        <w:t>完成</w:t>
      </w:r>
      <w:r w:rsidRPr="006D1900">
        <w:rPr>
          <w:rFonts w:ascii="仿宋_GB2312" w:eastAsia="仿宋_GB2312" w:cs="DengXian-Regular" w:hint="eastAsia"/>
          <w:sz w:val="32"/>
          <w:szCs w:val="32"/>
        </w:rPr>
        <w:t>率（</w:t>
      </w:r>
      <w:r w:rsidR="006D1900" w:rsidRPr="006D1900">
        <w:rPr>
          <w:rFonts w:ascii="仿宋_GB2312" w:eastAsia="仿宋_GB2312" w:cs="DengXian-Regular" w:hint="eastAsia"/>
          <w:sz w:val="32"/>
          <w:szCs w:val="32"/>
        </w:rPr>
        <w:t>1</w:t>
      </w:r>
      <w:r w:rsidRPr="006D1900">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006D1900">
        <w:rPr>
          <w:rFonts w:ascii="仿宋_GB2312" w:eastAsia="仿宋_GB2312" w:cs="DengXian-Regular" w:hint="eastAsia"/>
          <w:sz w:val="32"/>
          <w:szCs w:val="32"/>
        </w:rPr>
        <w:t>2019年部门实际完成的预算数完成财政部门批复的年初预算数情况，通过预算完成</w:t>
      </w:r>
      <w:r>
        <w:rPr>
          <w:rFonts w:ascii="仿宋_GB2312" w:eastAsia="仿宋_GB2312" w:cs="DengXian-Regular" w:hint="eastAsia"/>
          <w:sz w:val="32"/>
          <w:szCs w:val="32"/>
        </w:rPr>
        <w:t>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w:t>
      </w:r>
      <w:r w:rsidR="006D1900">
        <w:rPr>
          <w:rFonts w:ascii="仿宋_GB2312" w:eastAsia="仿宋_GB2312" w:cs="DengXian-Regular" w:hint="eastAsia"/>
          <w:sz w:val="32"/>
          <w:szCs w:val="32"/>
        </w:rPr>
        <w:t>完成</w:t>
      </w:r>
      <w:r>
        <w:rPr>
          <w:rFonts w:ascii="仿宋_GB2312" w:eastAsia="仿宋_GB2312" w:cs="DengXian-Regular" w:hint="eastAsia"/>
          <w:sz w:val="32"/>
          <w:szCs w:val="32"/>
        </w:rPr>
        <w:t>率=（预算</w:t>
      </w:r>
      <w:r w:rsidR="006D1900">
        <w:rPr>
          <w:rFonts w:ascii="仿宋_GB2312" w:eastAsia="仿宋_GB2312" w:cs="DengXian-Regular" w:hint="eastAsia"/>
          <w:sz w:val="32"/>
          <w:szCs w:val="32"/>
        </w:rPr>
        <w:t>完成</w:t>
      </w:r>
      <w:r>
        <w:rPr>
          <w:rFonts w:ascii="仿宋_GB2312" w:eastAsia="仿宋_GB2312" w:cs="DengXian-Regular" w:hint="eastAsia"/>
          <w:sz w:val="32"/>
          <w:szCs w:val="32"/>
        </w:rPr>
        <w:t>数/年初预算数</w:t>
      </w:r>
      <w:r w:rsidR="006D1900">
        <w:rPr>
          <w:rFonts w:ascii="仿宋_GB2312" w:eastAsia="仿宋_GB2312" w:cs="DengXian-Regular" w:hint="eastAsia"/>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3D6240">
        <w:rPr>
          <w:rFonts w:ascii="仿宋_GB2312" w:eastAsia="仿宋_GB2312" w:cs="DengXian-Regular" w:hint="eastAsia"/>
          <w:sz w:val="32"/>
          <w:szCs w:val="32"/>
        </w:rPr>
        <w:t>工信2019年预算文本及相关表格，2019年年初财政部门批复预算1639.83万元，实际完成预算1983.01万元。预算完成率=1639.83/1983.01*100%=120.93%。</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D6240">
        <w:rPr>
          <w:rFonts w:ascii="仿宋_GB2312" w:eastAsia="仿宋_GB2312" w:cs="DengXian-Regular" w:hint="eastAsia"/>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w:t>
      </w:r>
      <w:r w:rsidR="003D6240">
        <w:rPr>
          <w:rFonts w:ascii="仿宋_GB2312" w:eastAsia="仿宋_GB2312" w:cs="DengXian-Regular" w:hint="eastAsia"/>
          <w:sz w:val="32"/>
          <w:szCs w:val="32"/>
        </w:rPr>
        <w:t>结转结余</w:t>
      </w:r>
      <w:r>
        <w:rPr>
          <w:rFonts w:ascii="仿宋_GB2312" w:eastAsia="仿宋_GB2312" w:cs="DengXian-Regular" w:hint="eastAsia"/>
          <w:sz w:val="32"/>
          <w:szCs w:val="32"/>
        </w:rPr>
        <w:t>率（</w:t>
      </w:r>
      <w:r w:rsidR="003D6240">
        <w:rPr>
          <w:rFonts w:ascii="仿宋_GB2312" w:eastAsia="仿宋_GB2312" w:cs="DengXian-Regular" w:hint="eastAsia"/>
          <w:sz w:val="32"/>
          <w:szCs w:val="32"/>
        </w:rPr>
        <w:t>1</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003D6240">
        <w:rPr>
          <w:rFonts w:ascii="仿宋_GB2312" w:eastAsia="仿宋_GB2312" w:cs="DengXian-Regular" w:hint="eastAsia"/>
          <w:sz w:val="32"/>
          <w:szCs w:val="32"/>
        </w:rPr>
        <w:t>结转结余数占支出预算数的比重</w:t>
      </w:r>
      <w:r>
        <w:rPr>
          <w:rFonts w:ascii="仿宋_GB2312" w:eastAsia="仿宋_GB2312" w:cs="DengXian-Regular" w:hint="eastAsia"/>
          <w:sz w:val="32"/>
          <w:szCs w:val="32"/>
        </w:rPr>
        <w:t>，通过</w:t>
      </w:r>
      <w:r w:rsidR="003D6240">
        <w:rPr>
          <w:rFonts w:ascii="仿宋_GB2312" w:eastAsia="仿宋_GB2312" w:cs="DengXian-Regular" w:hint="eastAsia"/>
          <w:sz w:val="32"/>
          <w:szCs w:val="32"/>
        </w:rPr>
        <w:t>结转结余</w:t>
      </w:r>
      <w:r>
        <w:rPr>
          <w:rFonts w:ascii="仿宋_GB2312" w:eastAsia="仿宋_GB2312" w:cs="DengXian-Regular" w:hint="eastAsia"/>
          <w:sz w:val="32"/>
          <w:szCs w:val="32"/>
        </w:rPr>
        <w:t>率来衡量。</w:t>
      </w:r>
    </w:p>
    <w:p w:rsidR="00852C43" w:rsidRDefault="003D624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w:t>
      </w:r>
      <w:r w:rsidR="002F5BF5">
        <w:rPr>
          <w:rFonts w:ascii="仿宋_GB2312" w:eastAsia="仿宋_GB2312" w:cs="DengXian-Regular" w:hint="eastAsia"/>
          <w:sz w:val="32"/>
          <w:szCs w:val="32"/>
        </w:rPr>
        <w:t>率=（</w:t>
      </w:r>
      <w:r>
        <w:rPr>
          <w:rFonts w:ascii="仿宋_GB2312" w:eastAsia="仿宋_GB2312" w:cs="DengXian-Regular" w:hint="eastAsia"/>
          <w:sz w:val="32"/>
          <w:szCs w:val="32"/>
        </w:rPr>
        <w:t>结转结余总额</w:t>
      </w:r>
      <w:r w:rsidR="002F5BF5">
        <w:rPr>
          <w:rFonts w:ascii="仿宋_GB2312" w:eastAsia="仿宋_GB2312" w:cs="DengXian-Regular" w:hint="eastAsia"/>
          <w:sz w:val="32"/>
          <w:szCs w:val="32"/>
        </w:rPr>
        <w:t>/</w:t>
      </w:r>
      <w:r>
        <w:rPr>
          <w:rFonts w:ascii="仿宋_GB2312" w:eastAsia="仿宋_GB2312" w:cs="DengXian-Regular" w:hint="eastAsia"/>
          <w:sz w:val="32"/>
          <w:szCs w:val="32"/>
        </w:rPr>
        <w:t>支出预算数</w:t>
      </w:r>
      <w:r w:rsidR="002F5BF5">
        <w:rPr>
          <w:rFonts w:ascii="仿宋_GB2312" w:eastAsia="仿宋_GB2312" w:cs="DengXian-Regular" w:hint="eastAsia"/>
          <w:sz w:val="32"/>
          <w:szCs w:val="32"/>
        </w:rPr>
        <w:t>）*100%。</w:t>
      </w:r>
    </w:p>
    <w:p w:rsidR="00852C43" w:rsidRDefault="003D6240">
      <w:pPr>
        <w:spacing w:after="0" w:line="360" w:lineRule="auto"/>
        <w:ind w:firstLineChars="200" w:firstLine="640"/>
        <w:jc w:val="both"/>
        <w:textAlignment w:val="baseline"/>
        <w:rPr>
          <w:rFonts w:ascii="仿宋_GB2312" w:eastAsia="仿宋_GB2312" w:cs="DengXian-Regular"/>
          <w:sz w:val="32"/>
          <w:szCs w:val="32"/>
        </w:rPr>
      </w:pPr>
      <w:r w:rsidRPr="00B57214">
        <w:rPr>
          <w:rFonts w:ascii="仿宋_GB2312" w:eastAsia="仿宋_GB2312" w:cs="DengXian-Regular" w:hint="eastAsia"/>
          <w:sz w:val="32"/>
          <w:szCs w:val="32"/>
        </w:rPr>
        <w:t>根据区工信局2019年部门决算总表，</w:t>
      </w:r>
      <w:r w:rsidR="00B57214">
        <w:rPr>
          <w:rFonts w:ascii="仿宋_GB2312" w:eastAsia="仿宋_GB2312" w:cs="DengXian-Regular" w:hint="eastAsia"/>
          <w:sz w:val="32"/>
          <w:szCs w:val="32"/>
        </w:rPr>
        <w:t>区工信局2019年部门总支出1739.21万元，结转结余256.17万元。结转结余率=（256.17/1739.21）*100%=14.73%。</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B57214">
        <w:rPr>
          <w:rFonts w:ascii="仿宋_GB2312" w:eastAsia="仿宋_GB2312" w:cs="DengXian-Regular" w:hint="eastAsia"/>
          <w:sz w:val="32"/>
          <w:szCs w:val="32"/>
        </w:rPr>
        <w:t>0</w:t>
      </w:r>
      <w:r>
        <w:rPr>
          <w:rFonts w:ascii="仿宋_GB2312" w:eastAsia="仿宋_GB2312" w:cs="DengXian-Regular" w:hint="eastAsia"/>
          <w:sz w:val="32"/>
          <w:szCs w:val="32"/>
        </w:rPr>
        <w:t>分。</w:t>
      </w:r>
    </w:p>
    <w:p w:rsidR="00B57214" w:rsidRDefault="00B5721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（5)结转结余变动率（1分）</w:t>
      </w:r>
    </w:p>
    <w:p w:rsidR="00B57214" w:rsidRDefault="00B5721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该指标主要评价2019年结转结余资金总额较2018年结转结余资金总额增减变化情况，通过结转结余变动率来衡量。</w:t>
      </w:r>
    </w:p>
    <w:p w:rsidR="00B57214" w:rsidRDefault="00B5721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结转结余变动率=（本年度结转结余总额-上年度结转结余总额）/上年度结转结余资金总额/100%。</w:t>
      </w:r>
    </w:p>
    <w:p w:rsidR="00B57214" w:rsidRDefault="00B5721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根据2018年和2019年决算收支总表，区工信局2018年结转结余资金总额46.29万元，2019年结转结余资金总额256.17万元。结转结余变动率=（256.17-46.29）/46.29*100%=453.4%。</w:t>
      </w:r>
    </w:p>
    <w:p w:rsidR="00B57214" w:rsidRDefault="00B5721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该指标实际得分0分。</w:t>
      </w:r>
    </w:p>
    <w:p w:rsidR="007645E4" w:rsidRDefault="007645E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（6）公用经费控制率（5分）</w:t>
      </w:r>
    </w:p>
    <w:p w:rsidR="007645E4" w:rsidRDefault="007645E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该指标主要评价公用经费是否得到有效控制，通过公用经费控制率来衡量。</w:t>
      </w:r>
    </w:p>
    <w:p w:rsidR="007645E4" w:rsidRDefault="007645E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公用经费控制率=（实际支出公用经费总额/预算安排公用经费总额）*100%。</w:t>
      </w:r>
    </w:p>
    <w:p w:rsidR="007645E4" w:rsidRDefault="007645E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根据区工信局2019年预算决算相关表格资料，公用经费年初预算68.35万元，实际支出公用经费64.78万元。公用经费控制率=（64.78/68.35）*100%=94.78%</w:t>
      </w:r>
      <w:r>
        <w:rPr>
          <w:rFonts w:ascii="Arial" w:eastAsia="仿宋_GB2312" w:hAnsi="Arial" w:cs="Arial"/>
          <w:sz w:val="32"/>
          <w:szCs w:val="32"/>
        </w:rPr>
        <w:t>≤</w:t>
      </w:r>
      <w:r>
        <w:rPr>
          <w:rFonts w:ascii="仿宋_GB2312" w:eastAsia="仿宋_GB2312" w:cs="DengXian-Regular" w:hint="eastAsia"/>
          <w:sz w:val="32"/>
          <w:szCs w:val="32"/>
        </w:rPr>
        <w:t>100%。</w:t>
      </w:r>
    </w:p>
    <w:p w:rsidR="007645E4" w:rsidRPr="007645E4" w:rsidRDefault="007645E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7645E4">
        <w:rPr>
          <w:rFonts w:ascii="仿宋_GB2312" w:eastAsia="仿宋_GB2312" w:cs="DengXian-Regular" w:hint="eastAsia"/>
          <w:sz w:val="32"/>
          <w:szCs w:val="32"/>
        </w:rPr>
        <w:t>7</w:t>
      </w:r>
      <w:r>
        <w:rPr>
          <w:rFonts w:ascii="仿宋_GB2312" w:eastAsia="仿宋_GB2312" w:cs="DengXian-Regular" w:hint="eastAsia"/>
          <w:sz w:val="32"/>
          <w:szCs w:val="32"/>
        </w:rPr>
        <w:t>）“三公”经费控制率（</w:t>
      </w:r>
      <w:r w:rsidR="007645E4">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B57214">
        <w:rPr>
          <w:rFonts w:ascii="仿宋_GB2312" w:eastAsia="仿宋_GB2312" w:cs="DengXian-Regular" w:hint="eastAsia"/>
          <w:sz w:val="32"/>
          <w:szCs w:val="32"/>
        </w:rPr>
        <w:t>工信局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w:t>
      </w:r>
      <w:r w:rsidR="00B57214">
        <w:rPr>
          <w:rFonts w:ascii="仿宋_GB2312" w:eastAsia="仿宋_GB2312" w:cs="DengXian-Regular" w:hint="eastAsia"/>
          <w:sz w:val="32"/>
          <w:szCs w:val="32"/>
        </w:rPr>
        <w:t>资料</w:t>
      </w:r>
      <w:r>
        <w:rPr>
          <w:rFonts w:ascii="仿宋_GB2312" w:eastAsia="仿宋_GB2312" w:cs="DengXian-Regular" w:hint="eastAsia"/>
          <w:sz w:val="32"/>
          <w:szCs w:val="32"/>
        </w:rPr>
        <w:t>，“三公”经费年初预算数</w:t>
      </w:r>
      <w:r w:rsidR="00B57214">
        <w:rPr>
          <w:rFonts w:ascii="仿宋_GB2312" w:eastAsia="仿宋_GB2312" w:cs="DengXian-Regular" w:hint="eastAsia"/>
          <w:sz w:val="32"/>
          <w:szCs w:val="32"/>
        </w:rPr>
        <w:t>12.7</w:t>
      </w:r>
      <w:r>
        <w:rPr>
          <w:rFonts w:ascii="仿宋_GB2312" w:eastAsia="仿宋_GB2312" w:cs="DengXian-Regular" w:hint="eastAsia"/>
          <w:sz w:val="32"/>
          <w:szCs w:val="32"/>
        </w:rPr>
        <w:t>万元，年末决算数</w:t>
      </w:r>
      <w:r w:rsidR="007645E4">
        <w:rPr>
          <w:rFonts w:ascii="仿宋_GB2312" w:eastAsia="仿宋_GB2312" w:cs="DengXian-Regular" w:hint="eastAsia"/>
          <w:sz w:val="32"/>
          <w:szCs w:val="32"/>
        </w:rPr>
        <w:t>4.37</w:t>
      </w:r>
      <w:r>
        <w:rPr>
          <w:rFonts w:ascii="仿宋_GB2312" w:eastAsia="仿宋_GB2312" w:cs="DengXian-Regular" w:hint="eastAsia"/>
          <w:sz w:val="32"/>
          <w:szCs w:val="32"/>
        </w:rPr>
        <w:t>万元，“三公”经费控制率=（</w:t>
      </w:r>
      <w:r w:rsidR="007645E4">
        <w:rPr>
          <w:rFonts w:ascii="仿宋_GB2312" w:eastAsia="仿宋_GB2312" w:cs="DengXian-Regular" w:hint="eastAsia"/>
          <w:sz w:val="32"/>
          <w:szCs w:val="32"/>
        </w:rPr>
        <w:t>4.37</w:t>
      </w:r>
      <w:r>
        <w:rPr>
          <w:rFonts w:ascii="仿宋_GB2312" w:eastAsia="仿宋_GB2312" w:cs="DengXian-Regular" w:hint="eastAsia"/>
          <w:sz w:val="32"/>
          <w:szCs w:val="32"/>
        </w:rPr>
        <w:t>/</w:t>
      </w:r>
      <w:r w:rsidR="007645E4">
        <w:rPr>
          <w:rFonts w:ascii="仿宋_GB2312" w:eastAsia="仿宋_GB2312" w:cs="DengXian-Regular" w:hint="eastAsia"/>
          <w:sz w:val="32"/>
          <w:szCs w:val="32"/>
        </w:rPr>
        <w:t>12.7</w:t>
      </w:r>
      <w:r w:rsidR="00FF62F7">
        <w:rPr>
          <w:rFonts w:ascii="仿宋_GB2312" w:eastAsia="仿宋_GB2312" w:cs="DengXian-Regular" w:hint="eastAsia"/>
          <w:sz w:val="32"/>
          <w:szCs w:val="32"/>
        </w:rPr>
        <w:t>）</w:t>
      </w:r>
      <w:r>
        <w:rPr>
          <w:rFonts w:ascii="仿宋_GB2312" w:eastAsia="仿宋_GB2312" w:cs="DengXian-Regular" w:hint="eastAsia"/>
          <w:sz w:val="32"/>
          <w:szCs w:val="32"/>
        </w:rPr>
        <w:t>*100%=</w:t>
      </w:r>
      <w:r w:rsidR="007645E4">
        <w:rPr>
          <w:rFonts w:ascii="仿宋_GB2312" w:eastAsia="仿宋_GB2312" w:cs="DengXian-Regular" w:hint="eastAsia"/>
          <w:sz w:val="32"/>
          <w:szCs w:val="32"/>
        </w:rPr>
        <w:t>34.41</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645E4">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7645E4">
        <w:rPr>
          <w:rFonts w:ascii="仿宋_GB2312" w:eastAsia="仿宋_GB2312" w:cs="DengXian-Regular" w:hint="eastAsia"/>
          <w:sz w:val="32"/>
          <w:szCs w:val="32"/>
        </w:rPr>
        <w:t>8</w:t>
      </w:r>
      <w:r>
        <w:rPr>
          <w:rFonts w:ascii="仿宋_GB2312" w:eastAsia="仿宋_GB2312" w:cs="DengXian-Regular" w:hint="eastAsia"/>
          <w:sz w:val="32"/>
          <w:szCs w:val="32"/>
        </w:rPr>
        <w:t>）政府采购执行率（</w:t>
      </w:r>
      <w:r w:rsidR="007645E4">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7645E4">
        <w:rPr>
          <w:rFonts w:ascii="仿宋_GB2312" w:eastAsia="仿宋_GB2312" w:cs="DengXian-Regular" w:hint="eastAsia"/>
          <w:sz w:val="32"/>
          <w:szCs w:val="32"/>
        </w:rPr>
        <w:t>工信局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w:t>
      </w:r>
      <w:r w:rsidR="007645E4">
        <w:rPr>
          <w:rFonts w:ascii="仿宋_GB2312" w:eastAsia="仿宋_GB2312" w:cs="DengXian-Regular" w:hint="eastAsia"/>
          <w:sz w:val="32"/>
          <w:szCs w:val="32"/>
        </w:rPr>
        <w:t>相关表格</w:t>
      </w:r>
      <w:r>
        <w:rPr>
          <w:rFonts w:ascii="仿宋_GB2312" w:eastAsia="仿宋_GB2312" w:cs="DengXian-Regular" w:hint="eastAsia"/>
          <w:sz w:val="32"/>
          <w:szCs w:val="32"/>
        </w:rPr>
        <w:t>，政府采购年初预算数</w:t>
      </w:r>
      <w:r w:rsidR="007645E4">
        <w:rPr>
          <w:rFonts w:ascii="仿宋_GB2312" w:eastAsia="仿宋_GB2312" w:cs="DengXian-Regular" w:hint="eastAsia"/>
          <w:sz w:val="32"/>
          <w:szCs w:val="32"/>
        </w:rPr>
        <w:t>31.47</w:t>
      </w:r>
      <w:r>
        <w:rPr>
          <w:rFonts w:ascii="仿宋_GB2312" w:eastAsia="仿宋_GB2312" w:cs="DengXian-Regular" w:hint="eastAsia"/>
          <w:sz w:val="32"/>
          <w:szCs w:val="32"/>
        </w:rPr>
        <w:t>万元，年末决算数</w:t>
      </w:r>
      <w:r w:rsidR="007645E4">
        <w:rPr>
          <w:rFonts w:ascii="仿宋_GB2312" w:eastAsia="仿宋_GB2312" w:cs="DengXian-Regular" w:hint="eastAsia"/>
          <w:sz w:val="32"/>
          <w:szCs w:val="32"/>
        </w:rPr>
        <w:t>27.22</w:t>
      </w:r>
      <w:r>
        <w:rPr>
          <w:rFonts w:ascii="仿宋_GB2312" w:eastAsia="仿宋_GB2312" w:cs="DengXian-Regular" w:hint="eastAsia"/>
          <w:sz w:val="32"/>
          <w:szCs w:val="32"/>
        </w:rPr>
        <w:t>万元，政府采购执行率为</w:t>
      </w:r>
      <w:r w:rsidR="007645E4">
        <w:rPr>
          <w:rFonts w:ascii="仿宋_GB2312" w:eastAsia="仿宋_GB2312" w:cs="DengXian-Regular" w:hint="eastAsia"/>
          <w:sz w:val="32"/>
          <w:szCs w:val="32"/>
        </w:rPr>
        <w:t>86.5%</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该指标实际得分为</w:t>
      </w:r>
      <w:r w:rsidR="007645E4">
        <w:rPr>
          <w:rFonts w:ascii="仿宋_GB2312" w:eastAsia="仿宋_GB2312" w:cs="DengXian-Regular" w:hint="eastAsia"/>
          <w:sz w:val="32"/>
          <w:szCs w:val="32"/>
        </w:rPr>
        <w:t>2</w:t>
      </w:r>
      <w:r>
        <w:rPr>
          <w:rFonts w:ascii="仿宋_GB2312" w:eastAsia="仿宋_GB2312" w:cs="DengXian-Regular" w:hint="eastAsia"/>
          <w:sz w:val="32"/>
          <w:szCs w:val="32"/>
        </w:rPr>
        <w:t>分。</w:t>
      </w:r>
    </w:p>
    <w:p w:rsidR="0069435E" w:rsidRDefault="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69435E" w:rsidRDefault="0069435E" w:rsidP="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（1）管理制度健全性（3分）</w:t>
      </w:r>
    </w:p>
    <w:p w:rsidR="0069435E" w:rsidRDefault="0069435E" w:rsidP="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69435E" w:rsidRDefault="0069435E" w:rsidP="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区工信局工作制度涵盖了财务制度、专项资金管理制度、会计核算制度等相关制度，并制定了各项业务开展流程图，管理制度及业务流程比较健全规范。</w:t>
      </w:r>
    </w:p>
    <w:p w:rsidR="0069435E" w:rsidRPr="0069435E" w:rsidRDefault="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69435E">
        <w:rPr>
          <w:rFonts w:ascii="仿宋_GB2312" w:eastAsia="仿宋_GB2312" w:cs="DengXian-Regular" w:hint="eastAsia"/>
          <w:sz w:val="32"/>
          <w:szCs w:val="32"/>
        </w:rPr>
        <w:t>2</w:t>
      </w:r>
      <w:r>
        <w:rPr>
          <w:rFonts w:ascii="仿宋_GB2312" w:eastAsia="仿宋_GB2312" w:cs="DengXian-Regular" w:hint="eastAsia"/>
          <w:sz w:val="32"/>
          <w:szCs w:val="32"/>
        </w:rPr>
        <w:t>）资金使用合规性（</w:t>
      </w:r>
      <w:r w:rsidR="0069435E">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69435E">
        <w:rPr>
          <w:rFonts w:ascii="仿宋_GB2312" w:eastAsia="仿宋_GB2312" w:cs="DengXian-Regular" w:hint="eastAsia"/>
          <w:sz w:val="32"/>
          <w:szCs w:val="32"/>
        </w:rPr>
        <w:t>工信局</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FF62F7">
        <w:rPr>
          <w:rFonts w:ascii="仿宋_GB2312" w:eastAsia="仿宋_GB2312" w:cs="DengXian-Regular" w:hint="eastAsia"/>
          <w:sz w:val="32"/>
          <w:szCs w:val="32"/>
        </w:rPr>
        <w:t>区</w:t>
      </w:r>
      <w:r w:rsidR="0069435E">
        <w:rPr>
          <w:rFonts w:ascii="仿宋_GB2312" w:eastAsia="仿宋_GB2312" w:cs="DengXian-Regular" w:hint="eastAsia"/>
          <w:sz w:val="32"/>
          <w:szCs w:val="32"/>
        </w:rPr>
        <w:t>工信局</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69435E">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69435E">
        <w:rPr>
          <w:rFonts w:ascii="仿宋_GB2312" w:eastAsia="仿宋_GB2312" w:cs="DengXian-Regular" w:hint="eastAsia"/>
          <w:sz w:val="32"/>
          <w:szCs w:val="32"/>
        </w:rPr>
        <w:t>3</w:t>
      </w:r>
      <w:r>
        <w:rPr>
          <w:rFonts w:ascii="仿宋_GB2312" w:eastAsia="仿宋_GB2312" w:cs="DengXian-Regular" w:hint="eastAsia"/>
          <w:sz w:val="32"/>
          <w:szCs w:val="32"/>
        </w:rPr>
        <w:t>）预决算信息公开性（</w:t>
      </w:r>
      <w:r w:rsidR="0069435E">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该指标主要评价部门是否按照政府信息公开的有关要求在相关网站公开部门预算、预算执行情况、年度工作任务等相关信息。</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69435E">
        <w:rPr>
          <w:rFonts w:ascii="仿宋_GB2312" w:eastAsia="仿宋_GB2312" w:cs="DengXian-Regular" w:hint="eastAsia"/>
          <w:sz w:val="32"/>
          <w:szCs w:val="32"/>
        </w:rPr>
        <w:t>工信局</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69435E">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69435E">
        <w:rPr>
          <w:rFonts w:ascii="仿宋_GB2312" w:eastAsia="仿宋_GB2312" w:cs="DengXian-Regular" w:hint="eastAsia"/>
          <w:sz w:val="32"/>
          <w:szCs w:val="32"/>
        </w:rPr>
        <w:t>4</w:t>
      </w:r>
      <w:r>
        <w:rPr>
          <w:rFonts w:ascii="仿宋_GB2312" w:eastAsia="仿宋_GB2312" w:cs="DengXian-Regular" w:hint="eastAsia"/>
          <w:sz w:val="32"/>
          <w:szCs w:val="32"/>
        </w:rPr>
        <w:t>）基础信息完善性（4分）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69435E">
        <w:rPr>
          <w:rFonts w:ascii="仿宋_GB2312" w:eastAsia="仿宋_GB2312" w:cs="DengXian-Regular" w:hint="eastAsia"/>
          <w:sz w:val="32"/>
          <w:szCs w:val="32"/>
        </w:rPr>
        <w:t>工信局</w:t>
      </w:r>
      <w:r>
        <w:rPr>
          <w:rFonts w:ascii="仿宋_GB2312" w:eastAsia="仿宋_GB2312" w:cs="DengXian-Regular" w:hint="eastAsia"/>
          <w:sz w:val="32"/>
          <w:szCs w:val="32"/>
        </w:rPr>
        <w:t>的会计账簿、凭证及其他相关资料，</w:t>
      </w:r>
      <w:r w:rsidR="00FF62F7">
        <w:rPr>
          <w:rFonts w:ascii="仿宋_GB2312" w:eastAsia="仿宋_GB2312" w:cs="DengXian-Regular" w:hint="eastAsia"/>
          <w:sz w:val="32"/>
          <w:szCs w:val="32"/>
        </w:rPr>
        <w:t>区</w:t>
      </w:r>
      <w:r w:rsidR="0069435E">
        <w:rPr>
          <w:rFonts w:ascii="仿宋_GB2312" w:eastAsia="仿宋_GB2312" w:cs="DengXian-Regular" w:hint="eastAsia"/>
          <w:sz w:val="32"/>
          <w:szCs w:val="32"/>
        </w:rPr>
        <w:t>工信局</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69435E">
        <w:rPr>
          <w:rFonts w:ascii="仿宋_GB2312" w:eastAsia="仿宋_GB2312" w:cs="DengXian-Regular" w:hint="eastAsia"/>
          <w:sz w:val="32"/>
          <w:szCs w:val="32"/>
        </w:rPr>
        <w:t>3</w:t>
      </w:r>
      <w:r>
        <w:rPr>
          <w:rFonts w:ascii="仿宋_GB2312" w:eastAsia="仿宋_GB2312" w:cs="DengXian-Regular" w:hint="eastAsia"/>
          <w:sz w:val="32"/>
          <w:szCs w:val="32"/>
        </w:rPr>
        <w:t>分。</w:t>
      </w:r>
    </w:p>
    <w:p w:rsidR="0069435E" w:rsidRDefault="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3.资产管理（10分）</w:t>
      </w:r>
    </w:p>
    <w:p w:rsidR="0069435E" w:rsidRDefault="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（1）管理制度健全性（3分）</w:t>
      </w:r>
    </w:p>
    <w:p w:rsidR="0069435E" w:rsidRDefault="006943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003E5C31">
        <w:rPr>
          <w:rFonts w:ascii="仿宋_GB2312" w:eastAsia="仿宋_GB2312" w:cs="DengXian-Regular" w:hint="eastAsia"/>
          <w:sz w:val="32"/>
          <w:szCs w:val="32"/>
        </w:rPr>
        <w:t>是否制定了资产管理制度；资金管理制度是否合规、合法、完整；各项管理制度是否得到有效执行。</w:t>
      </w:r>
    </w:p>
    <w:p w:rsidR="003E5C31" w:rsidRPr="0069435E" w:rsidRDefault="003E5C3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区工信局制定了固定资产管理制度、专项资金管理制度等各项制度，并制定了采购、报销及固定资产报废处置等各项业务流程图，</w:t>
      </w:r>
      <w:r w:rsidR="00A723C3">
        <w:rPr>
          <w:rFonts w:ascii="仿宋_GB2312" w:eastAsia="仿宋_GB2312" w:cs="DengXian-Regular" w:hint="eastAsia"/>
          <w:sz w:val="32"/>
          <w:szCs w:val="32"/>
        </w:rPr>
        <w:t>管理制度全面有效执行。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sidRPr="00A723C3">
        <w:rPr>
          <w:rFonts w:ascii="仿宋_GB2312" w:eastAsia="仿宋_GB2312" w:cs="DengXian-Regular" w:hint="eastAsia"/>
          <w:sz w:val="32"/>
          <w:szCs w:val="32"/>
        </w:rPr>
        <w:t>（</w:t>
      </w:r>
      <w:r w:rsidR="00A723C3">
        <w:rPr>
          <w:rFonts w:ascii="仿宋_GB2312" w:eastAsia="仿宋_GB2312" w:cs="DengXian-Regular" w:hint="eastAsia"/>
          <w:sz w:val="32"/>
          <w:szCs w:val="32"/>
        </w:rPr>
        <w:t>2</w:t>
      </w:r>
      <w:r w:rsidRPr="00A723C3">
        <w:rPr>
          <w:rFonts w:ascii="仿宋_GB2312" w:eastAsia="仿宋_GB2312" w:cs="DengXian-Regular" w:hint="eastAsia"/>
          <w:sz w:val="32"/>
          <w:szCs w:val="32"/>
        </w:rPr>
        <w:t>）资产管理</w:t>
      </w:r>
      <w:r w:rsidR="003E5C31" w:rsidRPr="00A723C3">
        <w:rPr>
          <w:rFonts w:ascii="仿宋_GB2312" w:eastAsia="仿宋_GB2312" w:cs="DengXian-Regular" w:hint="eastAsia"/>
          <w:sz w:val="32"/>
          <w:szCs w:val="32"/>
        </w:rPr>
        <w:t>安全</w:t>
      </w:r>
      <w:r w:rsidRPr="00A723C3">
        <w:rPr>
          <w:rFonts w:ascii="仿宋_GB2312" w:eastAsia="仿宋_GB2312" w:cs="DengXian-Regular" w:hint="eastAsia"/>
          <w:sz w:val="32"/>
          <w:szCs w:val="32"/>
        </w:rPr>
        <w:t>性（</w:t>
      </w:r>
      <w:r w:rsidR="003E5C31" w:rsidRPr="00A723C3">
        <w:rPr>
          <w:rFonts w:ascii="仿宋_GB2312" w:eastAsia="仿宋_GB2312" w:cs="DengXian-Regular" w:hint="eastAsia"/>
          <w:sz w:val="32"/>
          <w:szCs w:val="32"/>
        </w:rPr>
        <w:t>5</w:t>
      </w:r>
      <w:r w:rsidRPr="00A723C3">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该指标主要评价资产</w:t>
      </w:r>
      <w:r w:rsidR="00A723C3">
        <w:rPr>
          <w:rFonts w:ascii="仿宋_GB2312" w:eastAsia="仿宋_GB2312" w:cs="DengXian-Regular" w:hint="eastAsia"/>
          <w:sz w:val="32"/>
          <w:szCs w:val="32"/>
        </w:rPr>
        <w:t>保存</w:t>
      </w:r>
      <w:r>
        <w:rPr>
          <w:rFonts w:ascii="仿宋_GB2312" w:eastAsia="仿宋_GB2312" w:cs="DengXian-Regular" w:hint="eastAsia"/>
          <w:sz w:val="32"/>
          <w:szCs w:val="32"/>
        </w:rPr>
        <w:t>是否</w:t>
      </w:r>
      <w:r w:rsidR="00A723C3">
        <w:rPr>
          <w:rFonts w:ascii="仿宋_GB2312" w:eastAsia="仿宋_GB2312" w:cs="DengXian-Regular" w:hint="eastAsia"/>
          <w:sz w:val="32"/>
          <w:szCs w:val="32"/>
        </w:rPr>
        <w:t>完整</w:t>
      </w:r>
      <w:r>
        <w:rPr>
          <w:rFonts w:ascii="仿宋_GB2312" w:eastAsia="仿宋_GB2312" w:cs="DengXian-Regular" w:hint="eastAsia"/>
          <w:sz w:val="32"/>
          <w:szCs w:val="32"/>
        </w:rPr>
        <w:t>，</w:t>
      </w:r>
      <w:r w:rsidR="00A723C3">
        <w:rPr>
          <w:rFonts w:ascii="仿宋_GB2312" w:eastAsia="仿宋_GB2312" w:cs="DengXian-Regular" w:hint="eastAsia"/>
          <w:sz w:val="32"/>
          <w:szCs w:val="32"/>
        </w:rPr>
        <w:t>资产配置是否合规，资产处置是否规范，资产管理是否合规，是否账实相符，资产有偿使用及处置收入是否及时足额上缴。</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A723C3">
        <w:rPr>
          <w:rFonts w:ascii="仿宋_GB2312" w:eastAsia="仿宋_GB2312" w:cs="DengXian-Regular" w:hint="eastAsia"/>
          <w:sz w:val="32"/>
          <w:szCs w:val="32"/>
        </w:rPr>
        <w:t>工信局建立了固定资产台账、无形资产台账，资产保存完整</w:t>
      </w:r>
      <w:r w:rsidR="002F5BF5">
        <w:rPr>
          <w:rFonts w:ascii="仿宋_GB2312" w:eastAsia="仿宋_GB2312" w:cs="DengXian-Regular" w:hint="eastAsia"/>
          <w:sz w:val="32"/>
          <w:szCs w:val="32"/>
        </w:rPr>
        <w:t>，资产购置手续完备，配置符合要求，</w:t>
      </w:r>
      <w:r w:rsidR="00A723C3">
        <w:rPr>
          <w:rFonts w:ascii="仿宋_GB2312" w:eastAsia="仿宋_GB2312" w:cs="DengXian-Regular" w:hint="eastAsia"/>
          <w:sz w:val="32"/>
          <w:szCs w:val="32"/>
        </w:rPr>
        <w:t>资产处置合规、合法，处置收入及时上缴了财政，</w:t>
      </w:r>
      <w:r w:rsidR="002F5BF5">
        <w:rPr>
          <w:rFonts w:ascii="仿宋_GB2312" w:eastAsia="仿宋_GB2312" w:cs="DengXian-Regular" w:hint="eastAsia"/>
          <w:sz w:val="32"/>
          <w:szCs w:val="32"/>
        </w:rPr>
        <w:t>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A723C3">
        <w:rPr>
          <w:rFonts w:ascii="仿宋_GB2312" w:eastAsia="仿宋_GB2312" w:cs="DengXian-Regular" w:hint="eastAsia"/>
          <w:sz w:val="32"/>
          <w:szCs w:val="32"/>
        </w:rPr>
        <w:t>5</w:t>
      </w:r>
      <w:r>
        <w:rPr>
          <w:rFonts w:ascii="仿宋_GB2312" w:eastAsia="仿宋_GB2312" w:cs="DengXian-Regular" w:hint="eastAsia"/>
          <w:sz w:val="32"/>
          <w:szCs w:val="32"/>
        </w:rPr>
        <w:t>分。</w:t>
      </w:r>
    </w:p>
    <w:p w:rsidR="00A723C3" w:rsidRDefault="00A723C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（3）固定资产利用率（2）分</w:t>
      </w:r>
    </w:p>
    <w:p w:rsidR="00A723C3" w:rsidRDefault="00A723C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该指标主要评价部门固定资产的实际使用情况，用固定资产利用率来衡量。</w:t>
      </w:r>
    </w:p>
    <w:p w:rsidR="00A723C3" w:rsidRDefault="00A723C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固定资产利用率=（实际在用固定资产总额/所有固定资产总额）*100%。</w:t>
      </w:r>
    </w:p>
    <w:p w:rsidR="00A723C3" w:rsidRDefault="00A723C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区工信局2019年末实际使用固定资产总额为109.3万元，所有固定资产总额为139.34万元。固定资产利用率为78.44%。</w:t>
      </w:r>
    </w:p>
    <w:p w:rsidR="00A723C3" w:rsidRPr="00A723C3" w:rsidRDefault="00A723C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该项指标实际得分0分。</w:t>
      </w:r>
    </w:p>
    <w:p w:rsidR="00852C43" w:rsidRDefault="002F5BF5">
      <w:pPr>
        <w:pStyle w:val="3"/>
        <w:spacing w:before="0" w:after="0"/>
        <w:ind w:firstLineChars="200" w:firstLine="643"/>
        <w:jc w:val="both"/>
        <w:rPr>
          <w:rFonts w:ascii="楷体" w:eastAsia="楷体" w:hAnsi="楷体"/>
          <w:sz w:val="32"/>
        </w:rPr>
      </w:pPr>
      <w:bookmarkStart w:id="67" w:name="_Toc12330"/>
      <w:bookmarkEnd w:id="65"/>
      <w:bookmarkEnd w:id="66"/>
      <w:r>
        <w:rPr>
          <w:rFonts w:ascii="楷体" w:eastAsia="楷体" w:hAnsi="楷体" w:hint="eastAsia"/>
          <w:sz w:val="32"/>
        </w:rPr>
        <w:t>（三）产出（2</w:t>
      </w:r>
      <w:r w:rsidR="00B00EC1">
        <w:rPr>
          <w:rFonts w:ascii="楷体" w:eastAsia="楷体" w:hAnsi="楷体" w:hint="eastAsia"/>
          <w:sz w:val="32"/>
        </w:rPr>
        <w:t>0</w:t>
      </w:r>
      <w:r>
        <w:rPr>
          <w:rFonts w:ascii="楷体" w:eastAsia="楷体" w:hAnsi="楷体" w:hint="eastAsia"/>
          <w:sz w:val="32"/>
        </w:rPr>
        <w:t>分）</w:t>
      </w:r>
      <w:bookmarkEnd w:id="67"/>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w:t>
      </w:r>
      <w:r w:rsidR="00B00EC1">
        <w:rPr>
          <w:rFonts w:ascii="仿宋_GB2312" w:eastAsia="仿宋_GB2312" w:cs="DengXian-Regular" w:hint="eastAsia"/>
          <w:sz w:val="32"/>
          <w:szCs w:val="32"/>
        </w:rPr>
        <w:t>2019年区工信局在部门履职尽责中工作任务的完成情况。</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tblPr>
      <w:tblGrid>
        <w:gridCol w:w="1577"/>
        <w:gridCol w:w="1004"/>
        <w:gridCol w:w="2536"/>
        <w:gridCol w:w="1125"/>
        <w:gridCol w:w="853"/>
      </w:tblGrid>
      <w:tr w:rsidR="00852C4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产出</w:t>
            </w:r>
          </w:p>
          <w:p w:rsidR="00852C43" w:rsidRDefault="002F5BF5" w:rsidP="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B00EC1">
              <w:rPr>
                <w:rFonts w:asciiTheme="minorEastAsia" w:eastAsiaTheme="minorEastAsia" w:hAnsiTheme="minorEastAsia" w:cs="宋体" w:hint="eastAsia"/>
                <w:sz w:val="21"/>
                <w:szCs w:val="21"/>
              </w:rPr>
              <w:t>0</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852C43" w:rsidRDefault="00B00EC1" w:rsidP="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职责</w:t>
            </w:r>
            <w:r w:rsidR="002F5BF5">
              <w:rPr>
                <w:rFonts w:asciiTheme="minorEastAsia" w:eastAsiaTheme="minorEastAsia" w:hAnsiTheme="minorEastAsia" w:cs="宋体" w:hint="eastAsia"/>
                <w:sz w:val="21"/>
                <w:szCs w:val="21"/>
              </w:rPr>
              <w:t>履行（2</w:t>
            </w:r>
            <w:r>
              <w:rPr>
                <w:rFonts w:asciiTheme="minorEastAsia" w:eastAsiaTheme="minorEastAsia" w:hAnsiTheme="minorEastAsia" w:cs="宋体" w:hint="eastAsia"/>
                <w:sz w:val="21"/>
                <w:szCs w:val="21"/>
              </w:rPr>
              <w:t>0</w:t>
            </w:r>
            <w:r w:rsidR="002F5BF5">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实际完成</w:t>
            </w:r>
            <w:r w:rsidR="002F5BF5">
              <w:rPr>
                <w:rFonts w:asciiTheme="minorEastAsia" w:eastAsiaTheme="minorEastAsia" w:hAnsiTheme="minorEastAsia" w:cs="宋体" w:hint="eastAsia"/>
                <w:sz w:val="21"/>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质量达标率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重点工作办结率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B00EC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t>1.</w:t>
      </w:r>
      <w:r w:rsidR="00B00EC1">
        <w:rPr>
          <w:rFonts w:ascii="仿宋_GB2312" w:eastAsia="仿宋_GB2312" w:cs="DengXian-Regular" w:hint="eastAsia"/>
          <w:sz w:val="32"/>
          <w:szCs w:val="32"/>
        </w:rPr>
        <w:t>实际完成率</w:t>
      </w:r>
      <w:r>
        <w:rPr>
          <w:rFonts w:ascii="仿宋_GB2312" w:eastAsia="仿宋_GB2312" w:cs="DengXian-Regular" w:hint="eastAsia"/>
          <w:sz w:val="32"/>
          <w:szCs w:val="32"/>
        </w:rPr>
        <w:t>（5分）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00B00EC1">
        <w:rPr>
          <w:rFonts w:ascii="仿宋_GB2312" w:eastAsia="仿宋_GB2312" w:cs="DengXian-Regular" w:hint="eastAsia"/>
          <w:sz w:val="32"/>
          <w:szCs w:val="32"/>
        </w:rPr>
        <w:t>2019年履职尽责中计划工作任务完成</w:t>
      </w:r>
      <w:r w:rsidR="00FD151D">
        <w:rPr>
          <w:rFonts w:ascii="仿宋_GB2312" w:eastAsia="仿宋_GB2312" w:cs="DengXian-Regular" w:hint="eastAsia"/>
          <w:sz w:val="32"/>
          <w:szCs w:val="32"/>
        </w:rPr>
        <w:t>情况</w:t>
      </w:r>
      <w:r>
        <w:rPr>
          <w:rFonts w:ascii="仿宋_GB2312" w:eastAsia="仿宋_GB2312" w:cs="DengXian-Regular" w:hint="eastAsia"/>
          <w:sz w:val="32"/>
          <w:szCs w:val="32"/>
        </w:rPr>
        <w:t>。</w:t>
      </w:r>
    </w:p>
    <w:p w:rsidR="00852C43" w:rsidRDefault="00B00EC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区工信局2019年超额完成了高新技术企业培育、科技型中小企业培育、科技研发平台建设、规上企业培育及“专精特新”中小企业培育等几方面的工作，实际完成率</w:t>
      </w:r>
      <w:r w:rsidR="005B71CF">
        <w:rPr>
          <w:rFonts w:ascii="仿宋_GB2312" w:eastAsia="仿宋_GB2312" w:cs="DengXian-Regular" w:hint="eastAsia"/>
          <w:sz w:val="32"/>
          <w:szCs w:val="32"/>
        </w:rPr>
        <w:t>达到95</w:t>
      </w:r>
      <w:r>
        <w:rPr>
          <w:rFonts w:ascii="仿宋_GB2312" w:eastAsia="仿宋_GB2312" w:cs="DengXian-Regular" w:hint="eastAsia"/>
          <w:sz w:val="32"/>
          <w:szCs w:val="32"/>
        </w:rPr>
        <w:t>%</w:t>
      </w:r>
      <w:r w:rsidR="005B71CF">
        <w:rPr>
          <w:rFonts w:ascii="仿宋_GB2312" w:eastAsia="仿宋_GB2312" w:cs="DengXian-Regular" w:hint="eastAsia"/>
          <w:sz w:val="32"/>
          <w:szCs w:val="32"/>
        </w:rPr>
        <w:t>以上</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B00EC1">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FD151D">
        <w:rPr>
          <w:rFonts w:ascii="仿宋_GB2312" w:eastAsia="仿宋_GB2312" w:cs="DengXian-Regular" w:hint="eastAsia"/>
          <w:sz w:val="32"/>
          <w:szCs w:val="32"/>
        </w:rPr>
        <w:t>完成及时</w:t>
      </w:r>
      <w:r>
        <w:rPr>
          <w:rFonts w:ascii="仿宋_GB2312" w:eastAsia="仿宋_GB2312" w:cs="DengXian-Regular" w:hint="eastAsia"/>
          <w:sz w:val="32"/>
          <w:szCs w:val="32"/>
        </w:rPr>
        <w:t>率（5分）</w:t>
      </w:r>
    </w:p>
    <w:p w:rsidR="00852C43" w:rsidRDefault="002F5BF5" w:rsidP="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00FD151D">
        <w:rPr>
          <w:rFonts w:ascii="仿宋_GB2312" w:eastAsia="仿宋_GB2312" w:cs="DengXian-Regular" w:hint="eastAsia"/>
          <w:sz w:val="32"/>
          <w:szCs w:val="32"/>
        </w:rPr>
        <w:t>2019年区工信局部门在履职尽责中及时完成的实际工作情况。</w:t>
      </w:r>
    </w:p>
    <w:p w:rsidR="00FD151D" w:rsidRPr="00FD151D" w:rsidRDefault="00FD151D" w:rsidP="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区工信局2019年按预期计划完成了高新技术企业培育、科技型中小企业培育、科技研发平台建设、规上企业培育及“专精特新”中小企业培育等几方面的工作，及时完成率达到95%以上。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D151D">
        <w:rPr>
          <w:rFonts w:ascii="仿宋_GB2312" w:eastAsia="仿宋_GB2312" w:cs="DengXian-Regular" w:hint="eastAsia"/>
          <w:sz w:val="32"/>
          <w:szCs w:val="32"/>
        </w:rPr>
        <w:t>5</w:t>
      </w:r>
      <w:r>
        <w:rPr>
          <w:rFonts w:ascii="仿宋_GB2312" w:eastAsia="仿宋_GB2312" w:cs="DengXian-Regular" w:hint="eastAsia"/>
          <w:sz w:val="32"/>
          <w:szCs w:val="32"/>
        </w:rPr>
        <w:t>分。</w:t>
      </w:r>
    </w:p>
    <w:p w:rsid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3.质量达标率（5分）</w:t>
      </w:r>
    </w:p>
    <w:p w:rsid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该指标主要评价2019年区工信局部门在履职尽责中质量达标的实际工作完成情况。</w:t>
      </w:r>
    </w:p>
    <w:p w:rsidR="00FD151D" w:rsidRPr="00FD151D" w:rsidRDefault="00FD151D" w:rsidP="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区工信局2019年超额完成了高新技术企业培育19家、科技型中小企业培育85家、科技研发平台建设2个、规上企业培育7家等几方面的工作，均质量达标，质量达标率达到95%以上。</w:t>
      </w:r>
    </w:p>
    <w:p w:rsid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4.重点工作办结率（5分）</w:t>
      </w:r>
    </w:p>
    <w:p w:rsid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该项指标主要评价2019年党委、政府、人大、相关部门交办或下达的工作任务。</w:t>
      </w:r>
    </w:p>
    <w:p w:rsid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2019年区工信局圆满完成了人大建议、政协提案工作，重点工作办结率达到95%以上。</w:t>
      </w:r>
    </w:p>
    <w:p w:rsidR="00FD151D" w:rsidRPr="00FD151D" w:rsidRDefault="00FD151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该指标实际得分5分。</w:t>
      </w:r>
    </w:p>
    <w:p w:rsidR="00852C43" w:rsidRDefault="002F5BF5">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w:t>
      </w:r>
      <w:r w:rsidR="00FD151D">
        <w:rPr>
          <w:rFonts w:ascii="楷体" w:eastAsia="楷体" w:hAnsi="楷体" w:hint="eastAsia"/>
          <w:sz w:val="32"/>
        </w:rPr>
        <w:t>16</w:t>
      </w:r>
      <w:r>
        <w:rPr>
          <w:rFonts w:ascii="楷体" w:eastAsia="楷体" w:hAnsi="楷体" w:hint="eastAsia"/>
          <w:sz w:val="32"/>
        </w:rPr>
        <w:t>分）</w:t>
      </w:r>
      <w:bookmarkEnd w:id="7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rsidP="00FD151D">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sidR="00FD151D">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FD151D">
              <w:rPr>
                <w:rFonts w:asciiTheme="minorEastAsia" w:eastAsiaTheme="minorEastAsia" w:hAnsiTheme="minorEastAsia" w:cs="宋体" w:hint="eastAsia"/>
                <w:sz w:val="21"/>
                <w:szCs w:val="21"/>
              </w:rPr>
              <w:t>16</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经济效益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FD151D">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FD151D" w:rsidRDefault="00FD151D">
            <w:pPr>
              <w:spacing w:after="0"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D151D" w:rsidRDefault="00FD151D">
            <w:pPr>
              <w:spacing w:after="0"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D151D"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社会效益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FD151D"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FD151D"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rsidP="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sidR="00FD151D">
              <w:rPr>
                <w:rFonts w:asciiTheme="minorEastAsia" w:eastAsiaTheme="minorEastAsia" w:hAnsiTheme="minorEastAsia" w:cs="宋体" w:hint="eastAsia"/>
                <w:sz w:val="21"/>
                <w:szCs w:val="21"/>
              </w:rPr>
              <w:t>6</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FD15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2" w:name="_Toc465149516"/>
      <w:bookmarkStart w:id="73" w:name="_Toc492652784"/>
      <w:bookmarkStart w:id="74" w:name="_Toc464638561"/>
      <w:bookmarkEnd w:id="71"/>
      <w:r>
        <w:rPr>
          <w:rFonts w:ascii="仿宋_GB2312" w:eastAsia="仿宋_GB2312" w:cs="DengXian-Regular" w:hint="eastAsia"/>
          <w:sz w:val="32"/>
          <w:szCs w:val="32"/>
        </w:rPr>
        <w:t>1.</w:t>
      </w:r>
      <w:r w:rsidR="00FD151D">
        <w:rPr>
          <w:rFonts w:ascii="仿宋_GB2312" w:eastAsia="仿宋_GB2312" w:cs="DengXian-Regular" w:hint="eastAsia"/>
          <w:sz w:val="32"/>
          <w:szCs w:val="32"/>
        </w:rPr>
        <w:t>经济效益</w:t>
      </w:r>
      <w:r>
        <w:rPr>
          <w:rFonts w:ascii="仿宋_GB2312" w:eastAsia="仿宋_GB2312" w:cs="DengXian-Regular" w:hint="eastAsia"/>
          <w:sz w:val="32"/>
          <w:szCs w:val="32"/>
        </w:rPr>
        <w:t>（</w:t>
      </w:r>
      <w:r w:rsidR="00FD151D">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w:t>
      </w:r>
      <w:r w:rsidR="00FD151D">
        <w:rPr>
          <w:rFonts w:ascii="仿宋_GB2312" w:eastAsia="仿宋_GB2312" w:cs="DengXian-Regular" w:hint="eastAsia"/>
          <w:sz w:val="32"/>
          <w:szCs w:val="32"/>
        </w:rPr>
        <w:t>的经济</w:t>
      </w:r>
      <w:r>
        <w:rPr>
          <w:rFonts w:ascii="仿宋_GB2312" w:eastAsia="仿宋_GB2312" w:cs="DengXian-Regular" w:hint="eastAsia"/>
          <w:sz w:val="32"/>
          <w:szCs w:val="32"/>
        </w:rPr>
        <w:t>效益。</w:t>
      </w:r>
    </w:p>
    <w:p w:rsidR="005B71CF" w:rsidRDefault="005B71C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依据区工信局2019年绩效目标一览表等</w:t>
      </w:r>
      <w:r w:rsidR="002F5BF5">
        <w:rPr>
          <w:rFonts w:ascii="仿宋_GB2312" w:eastAsia="仿宋_GB2312" w:cs="DengXian-Regular" w:hint="eastAsia"/>
          <w:sz w:val="32"/>
          <w:szCs w:val="32"/>
        </w:rPr>
        <w:t>相关资料，</w:t>
      </w:r>
      <w:r>
        <w:rPr>
          <w:rFonts w:ascii="仿宋_GB2312" w:eastAsia="仿宋_GB2312" w:cs="DengXian-Regular" w:hint="eastAsia"/>
          <w:sz w:val="32"/>
          <w:szCs w:val="32"/>
        </w:rPr>
        <w:t>区工信局2019年超额完成了高新技术企业培育19家、科技型中小企业培育85家、科技研发平台建设2个、规上企业培育7家等几方面的工作。工业增加值未实现正增长。</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5B71CF">
        <w:rPr>
          <w:rFonts w:ascii="仿宋_GB2312" w:eastAsia="仿宋_GB2312" w:cs="DengXian-Regular" w:hint="eastAsia"/>
          <w:sz w:val="32"/>
          <w:szCs w:val="32"/>
        </w:rPr>
        <w:t>2</w:t>
      </w:r>
      <w:r>
        <w:rPr>
          <w:rFonts w:ascii="仿宋_GB2312" w:eastAsia="仿宋_GB2312" w:cs="DengXian-Regular" w:hint="eastAsia"/>
          <w:sz w:val="32"/>
          <w:szCs w:val="32"/>
        </w:rPr>
        <w:t>分。</w:t>
      </w:r>
    </w:p>
    <w:p w:rsidR="005B71CF" w:rsidRDefault="005B71C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2.社会效益（3分）</w:t>
      </w:r>
    </w:p>
    <w:p w:rsidR="005B71CF" w:rsidRDefault="005B71C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该指标主要评价部门履行职责对社会发展所带来的直接或间接的社会效益。</w:t>
      </w:r>
    </w:p>
    <w:p w:rsidR="005B71CF" w:rsidRDefault="005B71CF" w:rsidP="005B71C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依据区工信局2019年绩效目标一览表等相关资料，区工信局2019年超额完成了高新技术企业培育19家、科技型中小企业培育85家、科技研发平台建设2个、规上企业培育7家等几方面的工作。激励了企业及社会公众的科技创新意识，提升了企业科技创新能力。</w:t>
      </w:r>
    </w:p>
    <w:p w:rsidR="005B71CF" w:rsidRPr="005B71CF" w:rsidRDefault="005B71C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5B71CF" w:rsidP="005B71CF">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2F5BF5">
        <w:rPr>
          <w:rFonts w:ascii="仿宋_GB2312" w:eastAsia="仿宋_GB2312" w:cs="DengXian-Regular" w:hint="eastAsia"/>
          <w:sz w:val="32"/>
          <w:szCs w:val="32"/>
        </w:rPr>
        <w:t>.考评满意度（</w:t>
      </w:r>
      <w:r>
        <w:rPr>
          <w:rFonts w:ascii="仿宋_GB2312" w:eastAsia="仿宋_GB2312" w:cs="DengXian-Regular" w:hint="eastAsia"/>
          <w:sz w:val="32"/>
          <w:szCs w:val="32"/>
        </w:rPr>
        <w:t>10</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w:t>
      </w:r>
      <w:r w:rsidR="005B71CF">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0个调查对象进行了问卷调查，具体调查情况如下：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 xml:space="preserve">表6  </w:t>
      </w:r>
      <w:r w:rsidRPr="005B71CF">
        <w:rPr>
          <w:rFonts w:asciiTheme="minorEastAsia" w:eastAsiaTheme="minorEastAsia" w:hAnsiTheme="minorEastAsia" w:cstheme="minorEastAsia" w:hint="eastAsia"/>
          <w:b/>
          <w:bCs/>
          <w:sz w:val="32"/>
          <w:szCs w:val="32"/>
          <w:u w:color="000000"/>
        </w:rPr>
        <w:t>服务对象满意度调查问卷</w:t>
      </w:r>
      <w:r>
        <w:rPr>
          <w:rFonts w:asciiTheme="minorEastAsia" w:eastAsiaTheme="minorEastAsia" w:hAnsiTheme="minorEastAsia" w:cstheme="minorEastAsia" w:hint="eastAsia"/>
          <w:b/>
          <w:bCs/>
          <w:sz w:val="32"/>
          <w:szCs w:val="32"/>
          <w:u w:color="000000"/>
        </w:rPr>
        <w:t>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tblPr>
      <w:tblGrid>
        <w:gridCol w:w="2834"/>
        <w:gridCol w:w="1114"/>
        <w:gridCol w:w="1134"/>
        <w:gridCol w:w="1218"/>
        <w:gridCol w:w="767"/>
        <w:gridCol w:w="881"/>
      </w:tblGrid>
      <w:tr w:rsidR="00852C43" w:rsidRPr="00EC2CF2">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Pr="00EC2CF2"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EC2CF2">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Pr="00EC2CF2"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EC2CF2">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Pr="00EC2CF2"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EC2CF2">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Pr="00EC2CF2"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EC2CF2">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Pr="00EC2CF2" w:rsidRDefault="001B2403">
            <w:pPr>
              <w:spacing w:after="0" w:line="540" w:lineRule="exact"/>
              <w:jc w:val="center"/>
              <w:textAlignment w:val="baseline"/>
              <w:rPr>
                <w:rFonts w:asciiTheme="minorEastAsia" w:eastAsiaTheme="minorEastAsia" w:hAnsiTheme="minorEastAsia" w:cs="Times New Roman"/>
                <w:b/>
                <w:bCs/>
                <w:sz w:val="21"/>
                <w:szCs w:val="21"/>
                <w:u w:color="000000"/>
              </w:rPr>
            </w:pPr>
            <w:r w:rsidRPr="00EC2CF2">
              <w:rPr>
                <w:rFonts w:asciiTheme="minorEastAsia" w:eastAsiaTheme="minorEastAsia" w:hAnsiTheme="minorEastAsia" w:cs="Times New Roman" w:hint="eastAsia"/>
                <w:b/>
                <w:bCs/>
                <w:sz w:val="21"/>
                <w:szCs w:val="21"/>
                <w:u w:color="000000"/>
              </w:rPr>
              <w:t>总</w:t>
            </w:r>
            <w:r w:rsidR="005B71CF" w:rsidRPr="00EC2CF2">
              <w:rPr>
                <w:rFonts w:asciiTheme="minorEastAsia" w:eastAsiaTheme="minorEastAsia" w:hAnsiTheme="minorEastAsia" w:cs="Times New Roman" w:hint="eastAsia"/>
                <w:b/>
                <w:bCs/>
                <w:sz w:val="21"/>
                <w:szCs w:val="21"/>
                <w:u w:color="000000"/>
              </w:rPr>
              <w:t>人数</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Pr="00EC2CF2"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EC2CF2">
              <w:rPr>
                <w:rFonts w:asciiTheme="minorEastAsia" w:eastAsiaTheme="minorEastAsia" w:hAnsiTheme="minorEastAsia" w:cs="Times New Roman" w:hint="eastAsia"/>
                <w:b/>
                <w:bCs/>
                <w:sz w:val="21"/>
                <w:szCs w:val="21"/>
                <w:u w:color="000000"/>
              </w:rPr>
              <w:t>单项得分</w:t>
            </w:r>
          </w:p>
        </w:tc>
      </w:tr>
      <w:tr w:rsidR="00852C43" w:rsidRPr="00EC2CF2">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rsidP="00EC2CF2">
            <w:pPr>
              <w:spacing w:after="0" w:line="360" w:lineRule="auto"/>
              <w:jc w:val="both"/>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lastRenderedPageBreak/>
              <w:t>科技项目推荐申报工作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2900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50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852C43">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5B71CF">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30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98.33</w:t>
            </w:r>
          </w:p>
        </w:tc>
      </w:tr>
      <w:tr w:rsidR="00852C43" w:rsidRPr="00EC2CF2">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rsidP="00486A56">
            <w:pPr>
              <w:spacing w:after="0" w:line="360" w:lineRule="auto"/>
              <w:jc w:val="both"/>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科技扶贫工作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2600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200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852C43">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5B71CF">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30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93.33</w:t>
            </w:r>
          </w:p>
        </w:tc>
      </w:tr>
      <w:tr w:rsidR="00852C4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rsidP="00486A56">
            <w:pPr>
              <w:spacing w:after="0" w:line="360" w:lineRule="auto"/>
              <w:jc w:val="both"/>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科普宣传工作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2900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50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852C43">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Pr="00EC2CF2" w:rsidRDefault="005B71CF">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30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EC2CF2">
            <w:pPr>
              <w:spacing w:after="0" w:line="360" w:lineRule="auto"/>
              <w:jc w:val="center"/>
              <w:textAlignment w:val="baseline"/>
              <w:rPr>
                <w:rFonts w:asciiTheme="minorEastAsia" w:eastAsiaTheme="minorEastAsia" w:hAnsiTheme="minorEastAsia" w:cs="Times New Roman"/>
                <w:sz w:val="21"/>
                <w:szCs w:val="21"/>
                <w:u w:color="000000"/>
              </w:rPr>
            </w:pPr>
            <w:r w:rsidRPr="00EC2CF2">
              <w:rPr>
                <w:rFonts w:asciiTheme="minorEastAsia" w:eastAsiaTheme="minorEastAsia" w:hAnsiTheme="minorEastAsia" w:cs="Times New Roman" w:hint="eastAsia"/>
                <w:sz w:val="21"/>
                <w:szCs w:val="21"/>
                <w:u w:color="000000"/>
              </w:rPr>
              <w:t>98.33</w:t>
            </w:r>
          </w:p>
        </w:tc>
      </w:tr>
    </w:tbl>
    <w:p w:rsidR="00852C43" w:rsidRPr="00EC2CF2"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EC2CF2">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852C43" w:rsidRPr="00EC2CF2"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EC2CF2">
        <w:rPr>
          <w:rFonts w:ascii="仿宋_GB2312" w:eastAsia="仿宋_GB2312" w:hAnsiTheme="minorEastAsia" w:cs="Times New Roman" w:hint="eastAsia"/>
          <w:sz w:val="32"/>
          <w:szCs w:val="32"/>
          <w:u w:color="000000"/>
        </w:rPr>
        <w:t>单项满意度得分=总分数/总人数</w:t>
      </w:r>
    </w:p>
    <w:p w:rsidR="00852C43" w:rsidRPr="00EC2CF2"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EC2CF2">
        <w:rPr>
          <w:rFonts w:ascii="仿宋_GB2312" w:eastAsia="仿宋_GB2312" w:hAnsiTheme="minorEastAsia" w:cs="Times New Roman" w:hint="eastAsia"/>
          <w:sz w:val="32"/>
          <w:szCs w:val="32"/>
          <w:u w:color="000000"/>
        </w:rPr>
        <w:t>总体满意度得分=∑1/3各单项满意度得分</w:t>
      </w:r>
    </w:p>
    <w:p w:rsidR="00852C43" w:rsidRPr="00EC2CF2"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EC2CF2">
        <w:rPr>
          <w:rFonts w:ascii="仿宋_GB2312" w:eastAsia="仿宋_GB2312" w:hAnsiTheme="minorEastAsia" w:cs="Times New Roman" w:hint="eastAsia"/>
          <w:sz w:val="32"/>
          <w:szCs w:val="32"/>
          <w:u w:color="000000"/>
        </w:rPr>
        <w:t>经计算，总体得分为</w:t>
      </w:r>
      <w:r w:rsidR="006218EE">
        <w:rPr>
          <w:rFonts w:ascii="仿宋_GB2312" w:eastAsia="仿宋_GB2312" w:hAnsiTheme="minorEastAsia" w:cs="Times New Roman" w:hint="eastAsia"/>
          <w:sz w:val="32"/>
          <w:szCs w:val="32"/>
          <w:u w:color="000000"/>
        </w:rPr>
        <w:t>96.66</w:t>
      </w:r>
      <w:r w:rsidRPr="00EC2CF2">
        <w:rPr>
          <w:rFonts w:ascii="仿宋_GB2312" w:eastAsia="仿宋_GB2312" w:hAnsiTheme="minorEastAsia" w:cs="Times New Roman" w:hint="eastAsia"/>
          <w:sz w:val="32"/>
          <w:szCs w:val="32"/>
          <w:u w:color="000000"/>
        </w:rPr>
        <w:t>分，</w:t>
      </w:r>
      <w:r w:rsidR="00486A56" w:rsidRPr="00EC2CF2">
        <w:rPr>
          <w:rFonts w:ascii="仿宋_GB2312" w:eastAsia="仿宋_GB2312" w:hAnsiTheme="minorEastAsia" w:cs="Times New Roman" w:hint="eastAsia"/>
          <w:sz w:val="32"/>
          <w:szCs w:val="32"/>
          <w:u w:color="000000"/>
        </w:rPr>
        <w:t>大于</w:t>
      </w:r>
      <w:r w:rsidRPr="00EC2CF2">
        <w:rPr>
          <w:rFonts w:ascii="仿宋_GB2312" w:eastAsia="仿宋_GB2312" w:hAnsiTheme="minorEastAsia" w:cs="Times New Roman" w:hint="eastAsia"/>
          <w:sz w:val="32"/>
          <w:szCs w:val="32"/>
          <w:u w:color="000000"/>
        </w:rPr>
        <w:t>90分，评价等级为“</w:t>
      </w:r>
      <w:r w:rsidR="006218EE">
        <w:rPr>
          <w:rFonts w:ascii="仿宋_GB2312" w:eastAsia="仿宋_GB2312" w:hAnsiTheme="minorEastAsia" w:cs="Times New Roman" w:hint="eastAsia"/>
          <w:sz w:val="32"/>
          <w:szCs w:val="32"/>
          <w:u w:color="000000"/>
        </w:rPr>
        <w:t>优秀</w:t>
      </w:r>
      <w:r w:rsidRPr="00EC2CF2">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sidRPr="00EC2CF2">
        <w:rPr>
          <w:rFonts w:ascii="仿宋_GB2312" w:eastAsia="仿宋_GB2312" w:hAnsiTheme="minorEastAsia" w:cs="Times New Roman" w:hint="eastAsia"/>
          <w:sz w:val="32"/>
          <w:szCs w:val="32"/>
          <w:u w:color="000000"/>
        </w:rPr>
        <w:t>该指标实际得分</w:t>
      </w:r>
      <w:r w:rsidR="006218EE">
        <w:rPr>
          <w:rFonts w:ascii="仿宋_GB2312" w:eastAsia="仿宋_GB2312" w:hAnsiTheme="minorEastAsia" w:cs="Times New Roman" w:hint="eastAsia"/>
          <w:sz w:val="32"/>
          <w:szCs w:val="32"/>
          <w:u w:color="000000"/>
        </w:rPr>
        <w:t>10</w:t>
      </w:r>
      <w:r w:rsidRPr="00EC2CF2">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1B2403">
        <w:rPr>
          <w:rFonts w:ascii="仿宋_GB2312" w:eastAsia="仿宋_GB2312" w:cs="DengXian-Regular" w:hint="eastAsia"/>
          <w:sz w:val="32"/>
          <w:szCs w:val="32"/>
        </w:rPr>
        <w:t>区工信局</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1B2403" w:rsidRPr="002261E1" w:rsidRDefault="001B2403" w:rsidP="001B2403">
      <w:pPr>
        <w:spacing w:after="0" w:line="360" w:lineRule="auto"/>
        <w:ind w:firstLineChars="200" w:firstLine="640"/>
        <w:jc w:val="both"/>
        <w:textAlignment w:val="baseline"/>
        <w:rPr>
          <w:rFonts w:ascii="仿宋_GB2312" w:eastAsia="仿宋_GB2312" w:cs="DengXian-Regular"/>
          <w:sz w:val="32"/>
          <w:szCs w:val="32"/>
        </w:rPr>
      </w:pPr>
      <w:bookmarkStart w:id="78" w:name="_Toc465149521"/>
      <w:bookmarkEnd w:id="76"/>
      <w:bookmarkEnd w:id="77"/>
      <w:r w:rsidRPr="002261E1">
        <w:rPr>
          <w:rFonts w:ascii="仿宋_GB2312" w:eastAsia="仿宋_GB2312" w:cs="DengXian-Regular" w:hint="eastAsia"/>
          <w:sz w:val="32"/>
          <w:szCs w:val="32"/>
        </w:rPr>
        <w:t>1.绩效指标方面,</w:t>
      </w:r>
      <w:r>
        <w:rPr>
          <w:rFonts w:ascii="仿宋_GB2312" w:eastAsia="仿宋_GB2312" w:cs="DengXian-Regular" w:hint="eastAsia"/>
          <w:sz w:val="32"/>
          <w:szCs w:val="32"/>
        </w:rPr>
        <w:t>年初绩效指标设定职责覆盖面不够广泛；绩效指标量化设定不够全面具体。</w:t>
      </w:r>
    </w:p>
    <w:p w:rsidR="001B2403" w:rsidRPr="0006350D" w:rsidRDefault="001B2403" w:rsidP="001B2403">
      <w:pPr>
        <w:spacing w:after="0" w:line="360" w:lineRule="auto"/>
        <w:ind w:firstLineChars="200" w:firstLine="640"/>
        <w:jc w:val="both"/>
        <w:textAlignment w:val="baseline"/>
        <w:rPr>
          <w:rFonts w:ascii="仿宋_GB2312" w:eastAsia="仿宋_GB2312" w:cs="DengXian-Regular"/>
          <w:sz w:val="32"/>
          <w:szCs w:val="32"/>
        </w:rPr>
      </w:pPr>
      <w:r w:rsidRPr="0006350D">
        <w:rPr>
          <w:rFonts w:ascii="仿宋_GB2312" w:eastAsia="仿宋_GB2312" w:cs="DengXian-Regular" w:hint="eastAsia"/>
          <w:sz w:val="32"/>
          <w:szCs w:val="32"/>
        </w:rPr>
        <w:t>2.政府采购方面</w:t>
      </w:r>
      <w:r>
        <w:rPr>
          <w:rFonts w:ascii="仿宋_GB2312" w:eastAsia="仿宋_GB2312" w:cs="DengXian-Regular" w:hint="eastAsia"/>
          <w:sz w:val="32"/>
          <w:szCs w:val="32"/>
        </w:rPr>
        <w:t>，采购预算编制口径不明确，没有涵盖小金额的货物和服务。</w:t>
      </w:r>
    </w:p>
    <w:p w:rsidR="001B2403" w:rsidRDefault="001B2403" w:rsidP="001B2403">
      <w:pPr>
        <w:spacing w:after="0" w:line="360" w:lineRule="auto"/>
        <w:ind w:firstLineChars="200" w:firstLine="640"/>
        <w:jc w:val="both"/>
        <w:textAlignment w:val="baseline"/>
        <w:rPr>
          <w:rFonts w:ascii="仿宋_GB2312" w:eastAsia="仿宋_GB2312" w:cs="DengXian-Regular"/>
          <w:sz w:val="32"/>
          <w:szCs w:val="32"/>
        </w:rPr>
      </w:pPr>
      <w:r w:rsidRPr="0006350D">
        <w:rPr>
          <w:rFonts w:ascii="仿宋_GB2312" w:eastAsia="仿宋_GB2312" w:cs="DengXian-Regular" w:hint="eastAsia"/>
          <w:sz w:val="32"/>
          <w:szCs w:val="32"/>
        </w:rPr>
        <w:t>3.项目资金使用率</w:t>
      </w:r>
      <w:r>
        <w:rPr>
          <w:rFonts w:ascii="仿宋_GB2312" w:eastAsia="仿宋_GB2312" w:cs="DengXian-Regular" w:hint="eastAsia"/>
          <w:sz w:val="32"/>
          <w:szCs w:val="32"/>
        </w:rPr>
        <w:t>，部分小项目的预算编制金额不够精确，支出率小于年初预算数。</w:t>
      </w:r>
    </w:p>
    <w:p w:rsidR="00961D67" w:rsidRPr="001B2403" w:rsidRDefault="00961D67">
      <w:pPr>
        <w:spacing w:after="0" w:line="360" w:lineRule="auto"/>
        <w:jc w:val="both"/>
        <w:textAlignment w:val="baseline"/>
        <w:rPr>
          <w:rFonts w:ascii="仿宋_GB2312" w:eastAsia="仿宋_GB2312" w:hAnsiTheme="minorEastAsia" w:cs="Times New Roman"/>
          <w:sz w:val="32"/>
          <w:szCs w:val="32"/>
          <w:u w:color="000000"/>
        </w:rPr>
      </w:pPr>
    </w:p>
    <w:p w:rsidR="00852C43" w:rsidRDefault="002F5BF5">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附件：1.保定市徐水</w:t>
      </w:r>
      <w:r w:rsidR="00961D67">
        <w:rPr>
          <w:rFonts w:ascii="仿宋_GB2312" w:eastAsia="仿宋_GB2312" w:cs="DengXian-Regular" w:hint="eastAsia"/>
          <w:sz w:val="32"/>
          <w:szCs w:val="32"/>
        </w:rPr>
        <w:t>区</w:t>
      </w:r>
      <w:r w:rsidR="001B2403">
        <w:rPr>
          <w:rFonts w:ascii="仿宋_GB2312" w:eastAsia="仿宋_GB2312" w:cs="DengXian-Regular" w:hint="eastAsia"/>
          <w:sz w:val="32"/>
          <w:szCs w:val="32"/>
        </w:rPr>
        <w:t>工信局</w:t>
      </w:r>
      <w:r>
        <w:rPr>
          <w:rFonts w:ascii="仿宋_GB2312" w:eastAsia="仿宋_GB2312" w:hAnsiTheme="minorEastAsia" w:cs="Times New Roman" w:hint="eastAsia"/>
          <w:sz w:val="32"/>
          <w:szCs w:val="32"/>
          <w:u w:color="000000"/>
        </w:rPr>
        <w:t>部门基本情况及</w:t>
      </w:r>
      <w:r w:rsidRPr="001B2403">
        <w:rPr>
          <w:rFonts w:ascii="仿宋_GB2312" w:eastAsia="仿宋_GB2312" w:hAnsiTheme="minorEastAsia" w:cs="Times New Roman" w:hint="eastAsia"/>
          <w:sz w:val="32"/>
          <w:szCs w:val="32"/>
          <w:u w:color="000000"/>
        </w:rPr>
        <w:t>主要职责</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w:t>
      </w:r>
      <w:r w:rsidR="00961D67">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年度保定市徐水区</w:t>
      </w:r>
      <w:r w:rsidR="001B2403">
        <w:rPr>
          <w:rFonts w:ascii="仿宋_GB2312" w:eastAsia="仿宋_GB2312" w:cs="DengXian-Regular" w:hint="eastAsia"/>
          <w:sz w:val="32"/>
          <w:szCs w:val="32"/>
        </w:rPr>
        <w:t>工信局</w:t>
      </w:r>
      <w:r>
        <w:rPr>
          <w:rFonts w:ascii="仿宋_GB2312" w:eastAsia="仿宋_GB2312" w:hAnsiTheme="minorEastAsia" w:cs="Times New Roman" w:hint="eastAsia"/>
          <w:sz w:val="32"/>
          <w:szCs w:val="32"/>
          <w:u w:color="000000"/>
        </w:rPr>
        <w:t>收支预算及决算明细表</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34"/>
      <w:r w:rsidRPr="001614DA">
        <w:rPr>
          <w:rFonts w:ascii="仿宋_GB2312" w:eastAsia="仿宋_GB2312" w:hAnsiTheme="minorEastAsia" w:cs="Times New Roman" w:hint="eastAsia"/>
          <w:sz w:val="32"/>
          <w:szCs w:val="32"/>
          <w:u w:color="000000"/>
        </w:rPr>
        <w:t>3.</w:t>
      </w:r>
      <w:bookmarkEnd w:id="79"/>
      <w:r w:rsidRPr="001614DA">
        <w:rPr>
          <w:rFonts w:ascii="仿宋_GB2312" w:eastAsia="仿宋_GB2312" w:hAnsiTheme="minorEastAsia" w:cs="Times New Roman" w:hint="eastAsia"/>
          <w:sz w:val="32"/>
          <w:szCs w:val="32"/>
          <w:u w:color="000000"/>
        </w:rPr>
        <w:t>部门整体支出绩效评价指标体系</w:t>
      </w:r>
    </w:p>
    <w:p w:rsidR="00852C43"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80" w:name="_Toc465149544"/>
      <w:r w:rsidRPr="001B2403">
        <w:rPr>
          <w:rFonts w:ascii="仿宋_GB2312" w:eastAsia="仿宋_GB2312" w:hAnsiTheme="minorEastAsia" w:cs="Times New Roman" w:hint="eastAsia"/>
          <w:sz w:val="32"/>
          <w:szCs w:val="32"/>
          <w:u w:color="000000"/>
        </w:rPr>
        <w:t>4.</w:t>
      </w:r>
      <w:bookmarkEnd w:id="80"/>
      <w:r w:rsidRPr="001B2403">
        <w:rPr>
          <w:rFonts w:ascii="仿宋_GB2312" w:eastAsia="仿宋_GB2312" w:hAnsiTheme="minorEastAsia" w:cs="Times New Roman" w:hint="eastAsia"/>
          <w:sz w:val="32"/>
          <w:szCs w:val="32"/>
          <w:u w:color="000000"/>
        </w:rPr>
        <w:t>201</w:t>
      </w:r>
      <w:r w:rsidR="00961D67" w:rsidRPr="001B2403">
        <w:rPr>
          <w:rFonts w:ascii="仿宋_GB2312" w:eastAsia="仿宋_GB2312" w:hAnsiTheme="minorEastAsia" w:cs="Times New Roman" w:hint="eastAsia"/>
          <w:sz w:val="32"/>
          <w:szCs w:val="32"/>
          <w:u w:color="000000"/>
        </w:rPr>
        <w:t>9</w:t>
      </w:r>
      <w:r w:rsidRPr="001B2403">
        <w:rPr>
          <w:rFonts w:ascii="仿宋_GB2312" w:eastAsia="仿宋_GB2312" w:hAnsiTheme="minorEastAsia" w:cs="Times New Roman" w:hint="eastAsia"/>
          <w:sz w:val="32"/>
          <w:szCs w:val="32"/>
          <w:u w:color="000000"/>
        </w:rPr>
        <w:t>年徐水区</w:t>
      </w:r>
      <w:r w:rsidR="001B2403" w:rsidRPr="001B2403">
        <w:rPr>
          <w:rFonts w:ascii="仿宋_GB2312" w:eastAsia="仿宋_GB2312" w:cs="DengXian-Regular" w:hint="eastAsia"/>
          <w:sz w:val="32"/>
          <w:szCs w:val="32"/>
        </w:rPr>
        <w:t>工信局</w:t>
      </w:r>
      <w:r w:rsidRPr="001B2403">
        <w:rPr>
          <w:rFonts w:ascii="仿宋_GB2312" w:eastAsia="仿宋_GB2312" w:hAnsiTheme="minorEastAsia" w:cs="Times New Roman" w:hint="eastAsia"/>
          <w:sz w:val="32"/>
          <w:szCs w:val="32"/>
          <w:u w:color="000000"/>
        </w:rPr>
        <w:t>工作活动绩效目标、绩效指标一览表</w:t>
      </w:r>
      <w:bookmarkEnd w:id="78"/>
    </w:p>
    <w:p w:rsidR="00852C43" w:rsidRPr="001B240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52C43" w:rsidRDefault="00852C43" w:rsidP="00961D67">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852C43" w:rsidSect="00852C43">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38C" w:rsidRDefault="00D5138C" w:rsidP="00852C43">
      <w:pPr>
        <w:spacing w:after="0"/>
      </w:pPr>
      <w:r>
        <w:separator/>
      </w:r>
    </w:p>
  </w:endnote>
  <w:endnote w:type="continuationSeparator" w:id="1">
    <w:p w:rsidR="00D5138C" w:rsidRDefault="00D5138C" w:rsidP="00852C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F2" w:rsidRDefault="00EC2CF2">
    <w:pPr>
      <w:pStyle w:val="a8"/>
      <w:jc w:val="center"/>
    </w:pPr>
  </w:p>
  <w:p w:rsidR="00EC2CF2" w:rsidRDefault="00EC2CF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F2" w:rsidRDefault="000223AD">
    <w:pPr>
      <w:pStyle w:val="a8"/>
      <w:jc w:val="center"/>
    </w:pPr>
    <w:r w:rsidRPr="000223AD">
      <w:fldChar w:fldCharType="begin"/>
    </w:r>
    <w:r w:rsidR="00EC2CF2">
      <w:instrText xml:space="preserve"> PAGE   \* MERGEFORMAT </w:instrText>
    </w:r>
    <w:r w:rsidRPr="000223AD">
      <w:fldChar w:fldCharType="separate"/>
    </w:r>
    <w:r w:rsidR="001614DA" w:rsidRPr="001614DA">
      <w:rPr>
        <w:noProof/>
        <w:lang w:val="zh-CN"/>
      </w:rPr>
      <w:t>7</w:t>
    </w:r>
    <w:r>
      <w:rPr>
        <w:lang w:val="zh-CN"/>
      </w:rPr>
      <w:fldChar w:fldCharType="end"/>
    </w:r>
  </w:p>
  <w:p w:rsidR="00EC2CF2" w:rsidRDefault="00EC2C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38C" w:rsidRDefault="00D5138C" w:rsidP="00852C43">
      <w:pPr>
        <w:spacing w:after="0"/>
      </w:pPr>
      <w:r>
        <w:separator/>
      </w:r>
    </w:p>
  </w:footnote>
  <w:footnote w:type="continuationSeparator" w:id="1">
    <w:p w:rsidR="00D5138C" w:rsidRDefault="00D5138C" w:rsidP="00852C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36866" fillcolor="white">
      <v:fill color="white"/>
    </o:shapedefaults>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04179"/>
    <w:rsid w:val="0000439F"/>
    <w:rsid w:val="00007CA0"/>
    <w:rsid w:val="00015C39"/>
    <w:rsid w:val="000174D3"/>
    <w:rsid w:val="000223AD"/>
    <w:rsid w:val="0002415F"/>
    <w:rsid w:val="00025620"/>
    <w:rsid w:val="0002705B"/>
    <w:rsid w:val="000317D7"/>
    <w:rsid w:val="00032B03"/>
    <w:rsid w:val="000334C2"/>
    <w:rsid w:val="0003450B"/>
    <w:rsid w:val="0003465E"/>
    <w:rsid w:val="00034910"/>
    <w:rsid w:val="0003506D"/>
    <w:rsid w:val="000409C0"/>
    <w:rsid w:val="0004123E"/>
    <w:rsid w:val="000430DB"/>
    <w:rsid w:val="00044599"/>
    <w:rsid w:val="000446E5"/>
    <w:rsid w:val="00044A25"/>
    <w:rsid w:val="00047D7B"/>
    <w:rsid w:val="000509B6"/>
    <w:rsid w:val="00050A62"/>
    <w:rsid w:val="000516BA"/>
    <w:rsid w:val="00051DBC"/>
    <w:rsid w:val="00052010"/>
    <w:rsid w:val="00061096"/>
    <w:rsid w:val="000612A2"/>
    <w:rsid w:val="00063117"/>
    <w:rsid w:val="0006350D"/>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36A4"/>
    <w:rsid w:val="0011574B"/>
    <w:rsid w:val="00116132"/>
    <w:rsid w:val="00117B9C"/>
    <w:rsid w:val="00117E7D"/>
    <w:rsid w:val="00120EA6"/>
    <w:rsid w:val="00122196"/>
    <w:rsid w:val="0012439D"/>
    <w:rsid w:val="0012587C"/>
    <w:rsid w:val="00132DE1"/>
    <w:rsid w:val="0013567B"/>
    <w:rsid w:val="0013591D"/>
    <w:rsid w:val="00141DE8"/>
    <w:rsid w:val="00144105"/>
    <w:rsid w:val="00145B4E"/>
    <w:rsid w:val="001544E1"/>
    <w:rsid w:val="001551CE"/>
    <w:rsid w:val="001614DA"/>
    <w:rsid w:val="00164732"/>
    <w:rsid w:val="00164FE1"/>
    <w:rsid w:val="001703D7"/>
    <w:rsid w:val="001719D0"/>
    <w:rsid w:val="00172245"/>
    <w:rsid w:val="0017403C"/>
    <w:rsid w:val="00174241"/>
    <w:rsid w:val="00176E7D"/>
    <w:rsid w:val="001804B7"/>
    <w:rsid w:val="001827F5"/>
    <w:rsid w:val="00182873"/>
    <w:rsid w:val="00183C43"/>
    <w:rsid w:val="00185652"/>
    <w:rsid w:val="0018615D"/>
    <w:rsid w:val="00187750"/>
    <w:rsid w:val="00190292"/>
    <w:rsid w:val="001926B8"/>
    <w:rsid w:val="0019341A"/>
    <w:rsid w:val="001952EC"/>
    <w:rsid w:val="001A0F7A"/>
    <w:rsid w:val="001A1677"/>
    <w:rsid w:val="001A51CE"/>
    <w:rsid w:val="001A5FD3"/>
    <w:rsid w:val="001B0380"/>
    <w:rsid w:val="001B04A4"/>
    <w:rsid w:val="001B2403"/>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36F8"/>
    <w:rsid w:val="001F6236"/>
    <w:rsid w:val="00200051"/>
    <w:rsid w:val="00202D5A"/>
    <w:rsid w:val="00205F02"/>
    <w:rsid w:val="0021307B"/>
    <w:rsid w:val="002142B8"/>
    <w:rsid w:val="002161F4"/>
    <w:rsid w:val="00216E75"/>
    <w:rsid w:val="00221907"/>
    <w:rsid w:val="00222FA8"/>
    <w:rsid w:val="0022532A"/>
    <w:rsid w:val="002261E1"/>
    <w:rsid w:val="00227AFB"/>
    <w:rsid w:val="00235741"/>
    <w:rsid w:val="00236B18"/>
    <w:rsid w:val="002401EA"/>
    <w:rsid w:val="00241B9D"/>
    <w:rsid w:val="002439D4"/>
    <w:rsid w:val="002447F8"/>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2F6A14"/>
    <w:rsid w:val="00306572"/>
    <w:rsid w:val="003079C7"/>
    <w:rsid w:val="0031030E"/>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629"/>
    <w:rsid w:val="00367DF7"/>
    <w:rsid w:val="00370AFA"/>
    <w:rsid w:val="0037120F"/>
    <w:rsid w:val="0037242E"/>
    <w:rsid w:val="003743E9"/>
    <w:rsid w:val="00376B15"/>
    <w:rsid w:val="0038005F"/>
    <w:rsid w:val="003803CC"/>
    <w:rsid w:val="00382949"/>
    <w:rsid w:val="00391AE3"/>
    <w:rsid w:val="00396D4C"/>
    <w:rsid w:val="003A02BE"/>
    <w:rsid w:val="003A1765"/>
    <w:rsid w:val="003A3C32"/>
    <w:rsid w:val="003A4D02"/>
    <w:rsid w:val="003A4D52"/>
    <w:rsid w:val="003A536E"/>
    <w:rsid w:val="003A67DE"/>
    <w:rsid w:val="003B6DEC"/>
    <w:rsid w:val="003B79D3"/>
    <w:rsid w:val="003C2B92"/>
    <w:rsid w:val="003D126B"/>
    <w:rsid w:val="003D1D33"/>
    <w:rsid w:val="003D22C9"/>
    <w:rsid w:val="003D28AC"/>
    <w:rsid w:val="003D37D8"/>
    <w:rsid w:val="003D5FB6"/>
    <w:rsid w:val="003D6240"/>
    <w:rsid w:val="003D7B2A"/>
    <w:rsid w:val="003E266C"/>
    <w:rsid w:val="003E3C05"/>
    <w:rsid w:val="003E5C31"/>
    <w:rsid w:val="003F282F"/>
    <w:rsid w:val="00400E89"/>
    <w:rsid w:val="00401AB4"/>
    <w:rsid w:val="00402CA2"/>
    <w:rsid w:val="00402D95"/>
    <w:rsid w:val="00403ADD"/>
    <w:rsid w:val="00407629"/>
    <w:rsid w:val="004108EE"/>
    <w:rsid w:val="00410F1A"/>
    <w:rsid w:val="00412678"/>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0C4A"/>
    <w:rsid w:val="00472C49"/>
    <w:rsid w:val="00474DE3"/>
    <w:rsid w:val="00477959"/>
    <w:rsid w:val="004817CC"/>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3F3B"/>
    <w:rsid w:val="00515160"/>
    <w:rsid w:val="00516D5A"/>
    <w:rsid w:val="005170FB"/>
    <w:rsid w:val="0052300D"/>
    <w:rsid w:val="00523B77"/>
    <w:rsid w:val="0052474C"/>
    <w:rsid w:val="00525074"/>
    <w:rsid w:val="00525520"/>
    <w:rsid w:val="005319EE"/>
    <w:rsid w:val="00531BE2"/>
    <w:rsid w:val="00532838"/>
    <w:rsid w:val="005421AC"/>
    <w:rsid w:val="00544C1A"/>
    <w:rsid w:val="0054540D"/>
    <w:rsid w:val="00546D1B"/>
    <w:rsid w:val="0055027D"/>
    <w:rsid w:val="00554FA1"/>
    <w:rsid w:val="00556934"/>
    <w:rsid w:val="005607DF"/>
    <w:rsid w:val="00564377"/>
    <w:rsid w:val="00564538"/>
    <w:rsid w:val="00566A89"/>
    <w:rsid w:val="00567E07"/>
    <w:rsid w:val="00570810"/>
    <w:rsid w:val="005771F7"/>
    <w:rsid w:val="00577B7B"/>
    <w:rsid w:val="00583F7F"/>
    <w:rsid w:val="0058600B"/>
    <w:rsid w:val="00587913"/>
    <w:rsid w:val="00593428"/>
    <w:rsid w:val="00593B65"/>
    <w:rsid w:val="005A15D6"/>
    <w:rsid w:val="005A1FD8"/>
    <w:rsid w:val="005A317D"/>
    <w:rsid w:val="005A53D8"/>
    <w:rsid w:val="005A79F9"/>
    <w:rsid w:val="005B71CF"/>
    <w:rsid w:val="005C3594"/>
    <w:rsid w:val="005C46B7"/>
    <w:rsid w:val="005C7C8B"/>
    <w:rsid w:val="005D5617"/>
    <w:rsid w:val="005D6591"/>
    <w:rsid w:val="005D6869"/>
    <w:rsid w:val="005D7446"/>
    <w:rsid w:val="005E22D9"/>
    <w:rsid w:val="005E5F88"/>
    <w:rsid w:val="005F06F5"/>
    <w:rsid w:val="005F399E"/>
    <w:rsid w:val="005F46C0"/>
    <w:rsid w:val="005F471D"/>
    <w:rsid w:val="005F720A"/>
    <w:rsid w:val="005F7467"/>
    <w:rsid w:val="005F78E7"/>
    <w:rsid w:val="006007F3"/>
    <w:rsid w:val="0060402C"/>
    <w:rsid w:val="006061BD"/>
    <w:rsid w:val="0061252A"/>
    <w:rsid w:val="006135B3"/>
    <w:rsid w:val="006138D4"/>
    <w:rsid w:val="00614DD4"/>
    <w:rsid w:val="00616C03"/>
    <w:rsid w:val="00616F30"/>
    <w:rsid w:val="006215A2"/>
    <w:rsid w:val="006218EE"/>
    <w:rsid w:val="00621F7D"/>
    <w:rsid w:val="00622AD1"/>
    <w:rsid w:val="00623267"/>
    <w:rsid w:val="00625428"/>
    <w:rsid w:val="0062670B"/>
    <w:rsid w:val="00630B86"/>
    <w:rsid w:val="00630F5B"/>
    <w:rsid w:val="00634C66"/>
    <w:rsid w:val="006352D1"/>
    <w:rsid w:val="00636E1A"/>
    <w:rsid w:val="00642BA5"/>
    <w:rsid w:val="006434E0"/>
    <w:rsid w:val="00647816"/>
    <w:rsid w:val="00650C90"/>
    <w:rsid w:val="0065172D"/>
    <w:rsid w:val="0065287D"/>
    <w:rsid w:val="0065671B"/>
    <w:rsid w:val="00656A5A"/>
    <w:rsid w:val="00663A42"/>
    <w:rsid w:val="0066418E"/>
    <w:rsid w:val="0066469F"/>
    <w:rsid w:val="0067780F"/>
    <w:rsid w:val="00686C30"/>
    <w:rsid w:val="00690FA3"/>
    <w:rsid w:val="0069331D"/>
    <w:rsid w:val="0069435E"/>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D1900"/>
    <w:rsid w:val="006E0A3D"/>
    <w:rsid w:val="006E27F1"/>
    <w:rsid w:val="006E5BC8"/>
    <w:rsid w:val="006E7CBA"/>
    <w:rsid w:val="006F222F"/>
    <w:rsid w:val="006F37F4"/>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285A"/>
    <w:rsid w:val="00744577"/>
    <w:rsid w:val="007452CF"/>
    <w:rsid w:val="00746055"/>
    <w:rsid w:val="00746DA9"/>
    <w:rsid w:val="00747086"/>
    <w:rsid w:val="007515E2"/>
    <w:rsid w:val="00756D66"/>
    <w:rsid w:val="00761D80"/>
    <w:rsid w:val="0076364A"/>
    <w:rsid w:val="007645E4"/>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2092"/>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298"/>
    <w:rsid w:val="00863CA2"/>
    <w:rsid w:val="00864A80"/>
    <w:rsid w:val="008655ED"/>
    <w:rsid w:val="00866942"/>
    <w:rsid w:val="00871B0D"/>
    <w:rsid w:val="00871B14"/>
    <w:rsid w:val="008735A1"/>
    <w:rsid w:val="00875962"/>
    <w:rsid w:val="00880325"/>
    <w:rsid w:val="00882ABD"/>
    <w:rsid w:val="008844A4"/>
    <w:rsid w:val="008857CC"/>
    <w:rsid w:val="00885D32"/>
    <w:rsid w:val="00892528"/>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09E2"/>
    <w:rsid w:val="008F27DB"/>
    <w:rsid w:val="008F5B6F"/>
    <w:rsid w:val="009002A3"/>
    <w:rsid w:val="0090038C"/>
    <w:rsid w:val="009007EC"/>
    <w:rsid w:val="00900EF5"/>
    <w:rsid w:val="00901EE5"/>
    <w:rsid w:val="0090343B"/>
    <w:rsid w:val="0090421D"/>
    <w:rsid w:val="00906447"/>
    <w:rsid w:val="0091349D"/>
    <w:rsid w:val="009141C7"/>
    <w:rsid w:val="00914C59"/>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5AD5"/>
    <w:rsid w:val="009860B4"/>
    <w:rsid w:val="00986724"/>
    <w:rsid w:val="0098718E"/>
    <w:rsid w:val="00994269"/>
    <w:rsid w:val="0099439A"/>
    <w:rsid w:val="00994737"/>
    <w:rsid w:val="009957C4"/>
    <w:rsid w:val="009A0F00"/>
    <w:rsid w:val="009A37AE"/>
    <w:rsid w:val="009A4059"/>
    <w:rsid w:val="009A47EF"/>
    <w:rsid w:val="009B101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3233"/>
    <w:rsid w:val="00A353F1"/>
    <w:rsid w:val="00A357B0"/>
    <w:rsid w:val="00A35B22"/>
    <w:rsid w:val="00A42B99"/>
    <w:rsid w:val="00A479B6"/>
    <w:rsid w:val="00A50D3C"/>
    <w:rsid w:val="00A532E3"/>
    <w:rsid w:val="00A54D9C"/>
    <w:rsid w:val="00A57200"/>
    <w:rsid w:val="00A57865"/>
    <w:rsid w:val="00A617CD"/>
    <w:rsid w:val="00A62B31"/>
    <w:rsid w:val="00A64850"/>
    <w:rsid w:val="00A65003"/>
    <w:rsid w:val="00A65202"/>
    <w:rsid w:val="00A723C3"/>
    <w:rsid w:val="00A73299"/>
    <w:rsid w:val="00A74836"/>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0A39"/>
    <w:rsid w:val="00AE11C8"/>
    <w:rsid w:val="00AE355C"/>
    <w:rsid w:val="00AE4EFC"/>
    <w:rsid w:val="00AE5731"/>
    <w:rsid w:val="00AE7127"/>
    <w:rsid w:val="00AE7F83"/>
    <w:rsid w:val="00AF6BA2"/>
    <w:rsid w:val="00AF7801"/>
    <w:rsid w:val="00B00EC1"/>
    <w:rsid w:val="00B019E2"/>
    <w:rsid w:val="00B020ED"/>
    <w:rsid w:val="00B036CB"/>
    <w:rsid w:val="00B130D5"/>
    <w:rsid w:val="00B13566"/>
    <w:rsid w:val="00B13A54"/>
    <w:rsid w:val="00B14220"/>
    <w:rsid w:val="00B16868"/>
    <w:rsid w:val="00B17251"/>
    <w:rsid w:val="00B2159A"/>
    <w:rsid w:val="00B21D32"/>
    <w:rsid w:val="00B313B2"/>
    <w:rsid w:val="00B32FA4"/>
    <w:rsid w:val="00B34A43"/>
    <w:rsid w:val="00B36912"/>
    <w:rsid w:val="00B404A0"/>
    <w:rsid w:val="00B4256A"/>
    <w:rsid w:val="00B432AB"/>
    <w:rsid w:val="00B54D75"/>
    <w:rsid w:val="00B57214"/>
    <w:rsid w:val="00B60C2A"/>
    <w:rsid w:val="00B65FC0"/>
    <w:rsid w:val="00B707DD"/>
    <w:rsid w:val="00B719F4"/>
    <w:rsid w:val="00B738D8"/>
    <w:rsid w:val="00B73995"/>
    <w:rsid w:val="00B74DBC"/>
    <w:rsid w:val="00B75E08"/>
    <w:rsid w:val="00B76684"/>
    <w:rsid w:val="00B7698F"/>
    <w:rsid w:val="00B800A8"/>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172B"/>
    <w:rsid w:val="00C32E7A"/>
    <w:rsid w:val="00C408D9"/>
    <w:rsid w:val="00C42DB9"/>
    <w:rsid w:val="00C447FD"/>
    <w:rsid w:val="00C44B90"/>
    <w:rsid w:val="00C51434"/>
    <w:rsid w:val="00C51743"/>
    <w:rsid w:val="00C51A61"/>
    <w:rsid w:val="00C55E20"/>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34EC"/>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38C"/>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1391"/>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E79D5"/>
    <w:rsid w:val="00E00A5F"/>
    <w:rsid w:val="00E05D64"/>
    <w:rsid w:val="00E07ABB"/>
    <w:rsid w:val="00E07D8F"/>
    <w:rsid w:val="00E13762"/>
    <w:rsid w:val="00E14E2F"/>
    <w:rsid w:val="00E1552D"/>
    <w:rsid w:val="00E1640B"/>
    <w:rsid w:val="00E317A6"/>
    <w:rsid w:val="00E3190E"/>
    <w:rsid w:val="00E31F05"/>
    <w:rsid w:val="00E32285"/>
    <w:rsid w:val="00E333B4"/>
    <w:rsid w:val="00E34295"/>
    <w:rsid w:val="00E3667E"/>
    <w:rsid w:val="00E4228D"/>
    <w:rsid w:val="00E4254E"/>
    <w:rsid w:val="00E4608C"/>
    <w:rsid w:val="00E502A2"/>
    <w:rsid w:val="00E521B6"/>
    <w:rsid w:val="00E52931"/>
    <w:rsid w:val="00E53ACE"/>
    <w:rsid w:val="00E5519B"/>
    <w:rsid w:val="00E55FEE"/>
    <w:rsid w:val="00E57BD3"/>
    <w:rsid w:val="00E57D38"/>
    <w:rsid w:val="00E60CA7"/>
    <w:rsid w:val="00E65332"/>
    <w:rsid w:val="00E65F77"/>
    <w:rsid w:val="00E670CD"/>
    <w:rsid w:val="00E67EA9"/>
    <w:rsid w:val="00E72A5C"/>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2CF2"/>
    <w:rsid w:val="00EC306F"/>
    <w:rsid w:val="00EC408E"/>
    <w:rsid w:val="00EC41F2"/>
    <w:rsid w:val="00EC4EB3"/>
    <w:rsid w:val="00EC5617"/>
    <w:rsid w:val="00EC75DE"/>
    <w:rsid w:val="00EC7C9E"/>
    <w:rsid w:val="00ED230D"/>
    <w:rsid w:val="00ED2440"/>
    <w:rsid w:val="00EE1C0B"/>
    <w:rsid w:val="00EE59D0"/>
    <w:rsid w:val="00EE7FF3"/>
    <w:rsid w:val="00EF26BF"/>
    <w:rsid w:val="00EF4861"/>
    <w:rsid w:val="00EF50C7"/>
    <w:rsid w:val="00EF5E19"/>
    <w:rsid w:val="00EF779D"/>
    <w:rsid w:val="00EF7E82"/>
    <w:rsid w:val="00F00F0F"/>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4747"/>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151D"/>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qFormat="1"/>
    <w:lsdException w:name="heading 5" w:uiPriority="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852C43"/>
  </w:style>
  <w:style w:type="paragraph" w:styleId="a5">
    <w:name w:val="Body Text"/>
    <w:basedOn w:val="a"/>
    <w:link w:val="Char1"/>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852C43"/>
    <w:pPr>
      <w:tabs>
        <w:tab w:val="center" w:pos="4153"/>
        <w:tab w:val="right" w:pos="8306"/>
      </w:tabs>
    </w:pPr>
    <w:rPr>
      <w:sz w:val="18"/>
      <w:szCs w:val="18"/>
    </w:rPr>
  </w:style>
  <w:style w:type="paragraph" w:styleId="a9">
    <w:name w:val="header"/>
    <w:basedOn w:val="a"/>
    <w:link w:val="Char5"/>
    <w:uiPriority w:val="99"/>
    <w:unhideWhenUsed/>
    <w:qFormat/>
    <w:rsid w:val="00852C43"/>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852C43"/>
  </w:style>
  <w:style w:type="character" w:styleId="af">
    <w:name w:val="FollowedHyperlink"/>
    <w:basedOn w:val="a0"/>
    <w:uiPriority w:val="99"/>
    <w:unhideWhenUsed/>
    <w:qFormat/>
    <w:rsid w:val="00852C43"/>
    <w:rPr>
      <w:color w:val="800080"/>
      <w:u w:val="single"/>
    </w:rPr>
  </w:style>
  <w:style w:type="character" w:styleId="af0">
    <w:name w:val="Emphasis"/>
    <w:uiPriority w:val="99"/>
    <w:qFormat/>
    <w:rsid w:val="00852C43"/>
    <w:rPr>
      <w:color w:val="CC0000"/>
    </w:rPr>
  </w:style>
  <w:style w:type="character" w:styleId="af1">
    <w:name w:val="Hyperlink"/>
    <w:uiPriority w:val="99"/>
    <w:qFormat/>
    <w:rsid w:val="00852C43"/>
    <w:rPr>
      <w:color w:val="0000FF"/>
      <w:u w:val="single"/>
    </w:rPr>
  </w:style>
  <w:style w:type="character" w:styleId="af2">
    <w:name w:val="annotation reference"/>
    <w:basedOn w:val="a0"/>
    <w:uiPriority w:val="99"/>
    <w:qFormat/>
    <w:rsid w:val="00852C43"/>
    <w:rPr>
      <w:sz w:val="21"/>
      <w:szCs w:val="21"/>
    </w:rPr>
  </w:style>
  <w:style w:type="character" w:styleId="af3">
    <w:name w:val="footnote reference"/>
    <w:basedOn w:val="a0"/>
    <w:uiPriority w:val="99"/>
    <w:qFormat/>
    <w:rsid w:val="00852C43"/>
    <w:rPr>
      <w:vertAlign w:val="superscript"/>
    </w:rPr>
  </w:style>
  <w:style w:type="character" w:customStyle="1" w:styleId="1Char">
    <w:name w:val="标题 1 Char"/>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852C43"/>
    <w:rPr>
      <w:rFonts w:ascii="Arial" w:eastAsia="黑体" w:hAnsi="Arial" w:cs="Times New Roman"/>
      <w:b/>
      <w:bCs/>
      <w:kern w:val="2"/>
      <w:sz w:val="32"/>
      <w:szCs w:val="32"/>
    </w:rPr>
  </w:style>
  <w:style w:type="character" w:customStyle="1" w:styleId="3Char">
    <w:name w:val="标题 3 Char"/>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852C4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852C43"/>
    <w:rPr>
      <w:rFonts w:ascii="Times New Roman" w:eastAsia="宋体" w:hAnsi="Times New Roman" w:cs="Times New Roman"/>
      <w:b/>
      <w:bCs/>
      <w:kern w:val="2"/>
      <w:sz w:val="28"/>
      <w:szCs w:val="28"/>
    </w:rPr>
  </w:style>
  <w:style w:type="character" w:customStyle="1" w:styleId="6Char">
    <w:name w:val="标题 6 Char"/>
    <w:basedOn w:val="a0"/>
    <w:link w:val="6"/>
    <w:qFormat/>
    <w:rsid w:val="00852C43"/>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852C43"/>
    <w:rPr>
      <w:rFonts w:ascii="Tahoma" w:hAnsi="Tahoma"/>
      <w:sz w:val="18"/>
      <w:szCs w:val="18"/>
    </w:rPr>
  </w:style>
  <w:style w:type="character" w:customStyle="1" w:styleId="Char4">
    <w:name w:val="页脚 Char"/>
    <w:basedOn w:val="a0"/>
    <w:link w:val="a8"/>
    <w:uiPriority w:val="99"/>
    <w:qFormat/>
    <w:rsid w:val="00852C43"/>
    <w:rPr>
      <w:rFonts w:ascii="Tahoma" w:hAnsi="Tahoma"/>
      <w:sz w:val="18"/>
      <w:szCs w:val="18"/>
    </w:rPr>
  </w:style>
  <w:style w:type="paragraph" w:customStyle="1" w:styleId="11">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852C43"/>
    <w:pPr>
      <w:ind w:firstLineChars="200" w:firstLine="420"/>
    </w:pPr>
  </w:style>
  <w:style w:type="character" w:customStyle="1" w:styleId="Char0">
    <w:name w:val="批注文字 Char"/>
    <w:basedOn w:val="a0"/>
    <w:link w:val="a4"/>
    <w:uiPriority w:val="99"/>
    <w:qFormat/>
    <w:rsid w:val="00852C43"/>
    <w:rPr>
      <w:rFonts w:ascii="Tahoma" w:hAnsi="Tahoma"/>
    </w:rPr>
  </w:style>
  <w:style w:type="character" w:customStyle="1" w:styleId="Char8">
    <w:name w:val="批注主题 Char"/>
    <w:basedOn w:val="Char0"/>
    <w:link w:val="ad"/>
    <w:uiPriority w:val="99"/>
    <w:qFormat/>
    <w:rsid w:val="00852C43"/>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852C43"/>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852C43"/>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852C43"/>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852C43"/>
    <w:rPr>
      <w:rFonts w:ascii="Times New Roman" w:eastAsia="宋体" w:hAnsi="Times New Roman" w:cs="Times New Roman"/>
      <w:kern w:val="2"/>
      <w:sz w:val="18"/>
      <w:szCs w:val="18"/>
    </w:rPr>
  </w:style>
  <w:style w:type="character" w:customStyle="1" w:styleId="HTMLChar">
    <w:name w:val="HTML 预设格式 Char"/>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1151;&#33021;&#20998;&#31867;&#25910;&#20837;&#21344;&#27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1151;&#33021;&#20998;&#31867;&#25910;&#20837;&#21344;&#27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1151;&#33021;&#20998;&#31867;&#25910;&#20837;&#21344;&#276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1151;&#33021;&#20998;&#31867;&#25910;&#20837;&#21344;&#27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0"/>
              <c:tx>
                <c:rich>
                  <a:bodyPr/>
                  <a:lstStyle/>
                  <a:p>
                    <a:r>
                      <a:rPr lang="en-US" altLang="en-US"/>
                      <a:t>26.69%</a:t>
                    </a:r>
                  </a:p>
                </c:rich>
              </c:tx>
              <c:showVal val="1"/>
            </c:dLbl>
            <c:dLbl>
              <c:idx val="1"/>
              <c:tx>
                <c:rich>
                  <a:bodyPr/>
                  <a:lstStyle/>
                  <a:p>
                    <a:r>
                      <a:rPr lang="en-US" altLang="en-US"/>
                      <a:t>24.72%</a:t>
                    </a:r>
                  </a:p>
                </c:rich>
              </c:tx>
              <c:showVal val="1"/>
            </c:dLbl>
            <c:dLbl>
              <c:idx val="2"/>
              <c:tx>
                <c:rich>
                  <a:bodyPr/>
                  <a:lstStyle/>
                  <a:p>
                    <a:r>
                      <a:rPr lang="en-US" altLang="en-US"/>
                      <a:t>1.9%</a:t>
                    </a:r>
                  </a:p>
                </c:rich>
              </c:tx>
              <c:showVal val="1"/>
            </c:dLbl>
            <c:dLbl>
              <c:idx val="3"/>
              <c:tx>
                <c:rich>
                  <a:bodyPr/>
                  <a:lstStyle/>
                  <a:p>
                    <a:r>
                      <a:rPr lang="en-US" altLang="en-US"/>
                      <a:t>32%</a:t>
                    </a:r>
                  </a:p>
                </c:rich>
              </c:tx>
              <c:showVal val="1"/>
            </c:dLbl>
            <c:dLbl>
              <c:idx val="4"/>
              <c:tx>
                <c:rich>
                  <a:bodyPr/>
                  <a:lstStyle/>
                  <a:p>
                    <a:r>
                      <a:rPr lang="en-US" altLang="en-US"/>
                      <a:t>11.36%</a:t>
                    </a:r>
                  </a:p>
                </c:rich>
              </c:tx>
              <c:showVal val="1"/>
            </c:dLbl>
            <c:dLbl>
              <c:idx val="5"/>
              <c:tx>
                <c:rich>
                  <a:bodyPr/>
                  <a:lstStyle/>
                  <a:p>
                    <a:r>
                      <a:rPr lang="en-US" altLang="en-US"/>
                      <a:t>1.82%</a:t>
                    </a:r>
                  </a:p>
                </c:rich>
              </c:tx>
              <c:showVal val="1"/>
            </c:dLbl>
            <c:dLbl>
              <c:idx val="6"/>
              <c:tx>
                <c:rich>
                  <a:bodyPr/>
                  <a:lstStyle/>
                  <a:p>
                    <a:r>
                      <a:rPr lang="en-US" altLang="en-US"/>
                      <a:t>1.51%</a:t>
                    </a:r>
                  </a:p>
                </c:rich>
              </c:tx>
              <c:showVal val="1"/>
            </c:dLbl>
            <c:delete val="1"/>
          </c:dLbls>
          <c:cat>
            <c:strRef>
              <c:f>决算功能分类收入划分!$B$4:$B$10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决算功能分类收入划分!$C$4:$C$10</c:f>
              <c:numCache>
                <c:formatCode>General</c:formatCode>
                <c:ptCount val="7"/>
                <c:pt idx="0">
                  <c:v>529.54999999999939</c:v>
                </c:pt>
                <c:pt idx="1">
                  <c:v>490.08</c:v>
                </c:pt>
                <c:pt idx="2">
                  <c:v>37.71</c:v>
                </c:pt>
                <c:pt idx="3">
                  <c:v>634.55999999999949</c:v>
                </c:pt>
                <c:pt idx="4">
                  <c:v>225</c:v>
                </c:pt>
                <c:pt idx="5">
                  <c:v>36.11</c:v>
                </c:pt>
                <c:pt idx="6">
                  <c:v>30</c:v>
                </c:pt>
              </c:numCache>
            </c:numRef>
          </c:val>
        </c:ser>
        <c:ser>
          <c:idx val="1"/>
          <c:order val="1"/>
          <c:cat>
            <c:strRef>
              <c:f>决算功能分类收入划分!$B$4:$B$10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决算功能分类收入划分!$D$4:$D$10</c:f>
              <c:numCache>
                <c:formatCode>General</c:formatCode>
                <c:ptCount val="7"/>
                <c:pt idx="0">
                  <c:v>26.69</c:v>
                </c:pt>
                <c:pt idx="1">
                  <c:v>24.72</c:v>
                </c:pt>
                <c:pt idx="2">
                  <c:v>1.9000000000000001</c:v>
                </c:pt>
                <c:pt idx="3">
                  <c:v>32</c:v>
                </c:pt>
                <c:pt idx="4">
                  <c:v>11.360000000000012</c:v>
                </c:pt>
                <c:pt idx="5">
                  <c:v>1.82</c:v>
                </c:pt>
                <c:pt idx="6">
                  <c:v>1.51</c:v>
                </c:pt>
              </c:numCache>
            </c:numRef>
          </c:val>
        </c:ser>
        <c:firstSliceAng val="0"/>
      </c:pieChart>
    </c:plotArea>
    <c:legend>
      <c:legendPos val="r"/>
    </c:legend>
    <c:plotVisOnly val="1"/>
  </c:chart>
  <c:spPr>
    <a:ln>
      <a:solidFill>
        <a:schemeClr val="tx2">
          <a:lumMod val="60000"/>
          <a:lumOff val="40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年初预算、决算收入对比!$C$3</c:f>
              <c:strCache>
                <c:ptCount val="1"/>
                <c:pt idx="0">
                  <c:v>年初预算数</c:v>
                </c:pt>
              </c:strCache>
            </c:strRef>
          </c:tx>
          <c:dLbls>
            <c:dLbl>
              <c:idx val="2"/>
              <c:layout>
                <c:manualLayout>
                  <c:x val="-1.4245014245014268E-2"/>
                  <c:y val="-2.8949545078577405E-2"/>
                </c:manualLayout>
              </c:layout>
              <c:showVal val="1"/>
            </c:dLbl>
            <c:dLbl>
              <c:idx val="5"/>
              <c:layout>
                <c:manualLayout>
                  <c:x val="7.4615879314403571E-17"/>
                  <c:y val="-3.7220843672456656E-2"/>
                </c:manualLayout>
              </c:layout>
              <c:showVal val="1"/>
            </c:dLbl>
            <c:showVal val="1"/>
          </c:dLbls>
          <c:cat>
            <c:strRef>
              <c:f>年初预算、决算收入对比!$B$4:$B$10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年初预算、决算收入对比!$C$4:$C$10</c:f>
              <c:numCache>
                <c:formatCode>General</c:formatCode>
                <c:ptCount val="7"/>
                <c:pt idx="0">
                  <c:v>935.3</c:v>
                </c:pt>
                <c:pt idx="1">
                  <c:v>252.09</c:v>
                </c:pt>
                <c:pt idx="2">
                  <c:v>50.8</c:v>
                </c:pt>
                <c:pt idx="3">
                  <c:v>0</c:v>
                </c:pt>
                <c:pt idx="4">
                  <c:v>360</c:v>
                </c:pt>
                <c:pt idx="5">
                  <c:v>41.64</c:v>
                </c:pt>
                <c:pt idx="6">
                  <c:v>0</c:v>
                </c:pt>
              </c:numCache>
            </c:numRef>
          </c:val>
        </c:ser>
        <c:ser>
          <c:idx val="1"/>
          <c:order val="1"/>
          <c:tx>
            <c:strRef>
              <c:f>年初预算、决算收入对比!$D$3</c:f>
              <c:strCache>
                <c:ptCount val="1"/>
                <c:pt idx="0">
                  <c:v>决算数</c:v>
                </c:pt>
              </c:strCache>
            </c:strRef>
          </c:tx>
          <c:dLbls>
            <c:dLbl>
              <c:idx val="4"/>
              <c:layout>
                <c:manualLayout>
                  <c:x val="1.2210012210012141E-2"/>
                  <c:y val="-4.1356492969396377E-3"/>
                </c:manualLayout>
              </c:layout>
              <c:showVal val="1"/>
            </c:dLbl>
            <c:dLbl>
              <c:idx val="5"/>
              <c:layout>
                <c:manualLayout>
                  <c:x val="1.4245014245014268E-2"/>
                  <c:y val="1.2406947890818934E-2"/>
                </c:manualLayout>
              </c:layout>
              <c:showVal val="1"/>
            </c:dLbl>
            <c:showVal val="1"/>
          </c:dLbls>
          <c:cat>
            <c:strRef>
              <c:f>年初预算、决算收入对比!$B$4:$B$10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年初预算、决算收入对比!$D$4:$D$10</c:f>
              <c:numCache>
                <c:formatCode>General</c:formatCode>
                <c:ptCount val="7"/>
                <c:pt idx="0">
                  <c:v>529.54999999999939</c:v>
                </c:pt>
                <c:pt idx="1">
                  <c:v>490.08</c:v>
                </c:pt>
                <c:pt idx="2">
                  <c:v>37.71</c:v>
                </c:pt>
                <c:pt idx="3">
                  <c:v>634.55999999999949</c:v>
                </c:pt>
                <c:pt idx="4">
                  <c:v>225</c:v>
                </c:pt>
                <c:pt idx="5">
                  <c:v>36.11</c:v>
                </c:pt>
                <c:pt idx="6">
                  <c:v>30</c:v>
                </c:pt>
              </c:numCache>
            </c:numRef>
          </c:val>
        </c:ser>
        <c:axId val="69369216"/>
        <c:axId val="115325184"/>
      </c:barChart>
      <c:catAx>
        <c:axId val="69369216"/>
        <c:scaling>
          <c:orientation val="minMax"/>
        </c:scaling>
        <c:axPos val="b"/>
        <c:tickLblPos val="nextTo"/>
        <c:crossAx val="115325184"/>
        <c:crosses val="autoZero"/>
        <c:auto val="1"/>
        <c:lblAlgn val="ctr"/>
        <c:lblOffset val="100"/>
      </c:catAx>
      <c:valAx>
        <c:axId val="115325184"/>
        <c:scaling>
          <c:orientation val="minMax"/>
        </c:scaling>
        <c:axPos val="l"/>
        <c:majorGridlines/>
        <c:numFmt formatCode="General" sourceLinked="1"/>
        <c:tickLblPos val="nextTo"/>
        <c:crossAx val="6936921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2019</a:t>
            </a:r>
            <a:r>
              <a:rPr lang="zh-CN" altLang="en-US"/>
              <a:t>年度支出决算结构图</a:t>
            </a:r>
          </a:p>
        </c:rich>
      </c:tx>
    </c:title>
    <c:plotArea>
      <c:layout/>
      <c:pieChart>
        <c:varyColors val="1"/>
        <c:ser>
          <c:idx val="0"/>
          <c:order val="0"/>
          <c:tx>
            <c:strRef>
              <c:f>决算功能分类支出划分!$C$3</c:f>
              <c:strCache>
                <c:ptCount val="1"/>
                <c:pt idx="0">
                  <c:v>金额万元</c:v>
                </c:pt>
              </c:strCache>
            </c:strRef>
          </c:tx>
          <c:dLbls>
            <c:dLbl>
              <c:idx val="0"/>
              <c:tx>
                <c:rich>
                  <a:bodyPr/>
                  <a:lstStyle/>
                  <a:p>
                    <a:r>
                      <a:rPr lang="en-US" altLang="en-US"/>
                      <a:t>30.92%</a:t>
                    </a:r>
                  </a:p>
                </c:rich>
              </c:tx>
              <c:showVal val="1"/>
            </c:dLbl>
            <c:dLbl>
              <c:idx val="1"/>
              <c:tx>
                <c:rich>
                  <a:bodyPr/>
                  <a:lstStyle/>
                  <a:p>
                    <a:r>
                      <a:rPr lang="en-US" altLang="en-US"/>
                      <a:t>28.2%</a:t>
                    </a:r>
                  </a:p>
                </c:rich>
              </c:tx>
              <c:showVal val="1"/>
            </c:dLbl>
            <c:dLbl>
              <c:idx val="2"/>
              <c:tx>
                <c:rich>
                  <a:bodyPr/>
                  <a:lstStyle/>
                  <a:p>
                    <a:r>
                      <a:rPr lang="en-US" altLang="en-US"/>
                      <a:t>2.17%</a:t>
                    </a:r>
                  </a:p>
                </c:rich>
              </c:tx>
              <c:showVal val="1"/>
            </c:dLbl>
            <c:dLbl>
              <c:idx val="3"/>
              <c:tx>
                <c:rich>
                  <a:bodyPr/>
                  <a:lstStyle/>
                  <a:p>
                    <a:r>
                      <a:rPr lang="en-US" altLang="en-US"/>
                      <a:t>21.98%</a:t>
                    </a:r>
                  </a:p>
                </c:rich>
              </c:tx>
              <c:showVal val="1"/>
            </c:dLbl>
            <c:dLbl>
              <c:idx val="4"/>
              <c:tx>
                <c:rich>
                  <a:bodyPr/>
                  <a:lstStyle/>
                  <a:p>
                    <a:r>
                      <a:rPr lang="en-US" altLang="en-US"/>
                      <a:t>12.94%</a:t>
                    </a:r>
                  </a:p>
                </c:rich>
              </c:tx>
              <c:showVal val="1"/>
            </c:dLbl>
            <c:dLbl>
              <c:idx val="5"/>
              <c:tx>
                <c:rich>
                  <a:bodyPr/>
                  <a:lstStyle/>
                  <a:p>
                    <a:r>
                      <a:rPr lang="en-US" altLang="en-US"/>
                      <a:t>2.07%</a:t>
                    </a:r>
                  </a:p>
                </c:rich>
              </c:tx>
              <c:showVal val="1"/>
            </c:dLbl>
            <c:dLbl>
              <c:idx val="6"/>
              <c:tx>
                <c:rich>
                  <a:bodyPr/>
                  <a:lstStyle/>
                  <a:p>
                    <a:r>
                      <a:rPr lang="en-US" altLang="en-US"/>
                      <a:t>1.72%</a:t>
                    </a:r>
                  </a:p>
                </c:rich>
              </c:tx>
              <c:showVal val="1"/>
            </c:dLbl>
            <c:showVal val="1"/>
            <c:showLeaderLines val="1"/>
          </c:dLbls>
          <c:cat>
            <c:strRef>
              <c:f>决算功能分类支出划分!$B$4:$B$10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决算功能分类支出划分!$C$4:$C$10</c:f>
              <c:numCache>
                <c:formatCode>General</c:formatCode>
                <c:ptCount val="7"/>
                <c:pt idx="0">
                  <c:v>537.67999999999995</c:v>
                </c:pt>
                <c:pt idx="1">
                  <c:v>490.45</c:v>
                </c:pt>
                <c:pt idx="2">
                  <c:v>37.71</c:v>
                </c:pt>
                <c:pt idx="3">
                  <c:v>382.26</c:v>
                </c:pt>
                <c:pt idx="4">
                  <c:v>225</c:v>
                </c:pt>
                <c:pt idx="5">
                  <c:v>36.11</c:v>
                </c:pt>
                <c:pt idx="6">
                  <c:v>30</c:v>
                </c:pt>
              </c:numCache>
            </c:numRef>
          </c:val>
        </c:ser>
        <c:ser>
          <c:idx val="1"/>
          <c:order val="1"/>
          <c:tx>
            <c:strRef>
              <c:f>决算功能分类支出划分!$D$3</c:f>
              <c:strCache>
                <c:ptCount val="1"/>
                <c:pt idx="0">
                  <c:v>占比%</c:v>
                </c:pt>
              </c:strCache>
            </c:strRef>
          </c:tx>
          <c:cat>
            <c:strRef>
              <c:f>决算功能分类支出划分!$B$4:$B$10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决算功能分类支出划分!$D$4:$D$10</c:f>
              <c:numCache>
                <c:formatCode>General</c:formatCode>
                <c:ptCount val="7"/>
                <c:pt idx="0">
                  <c:v>30.919999999999987</c:v>
                </c:pt>
                <c:pt idx="1">
                  <c:v>28.2</c:v>
                </c:pt>
                <c:pt idx="2">
                  <c:v>2.17</c:v>
                </c:pt>
                <c:pt idx="3">
                  <c:v>21.979999999999986</c:v>
                </c:pt>
                <c:pt idx="4">
                  <c:v>12.94</c:v>
                </c:pt>
                <c:pt idx="5">
                  <c:v>2.0699999999999998</c:v>
                </c:pt>
                <c:pt idx="6">
                  <c:v>1.72</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年初预算、决算支出对比!$C$3</c:f>
              <c:strCache>
                <c:ptCount val="1"/>
                <c:pt idx="0">
                  <c:v>年初预算数</c:v>
                </c:pt>
              </c:strCache>
            </c:strRef>
          </c:tx>
          <c:dLbls>
            <c:dLbl>
              <c:idx val="2"/>
              <c:layout>
                <c:manualLayout>
                  <c:x val="-1.1111111111111125E-2"/>
                  <c:y val="-3.2407407407407489E-2"/>
                </c:manualLayout>
              </c:layout>
              <c:showVal val="1"/>
            </c:dLbl>
            <c:dLbl>
              <c:idx val="4"/>
              <c:layout>
                <c:manualLayout>
                  <c:x val="2.5000000000000001E-2"/>
                  <c:y val="-4.6296296296296424E-3"/>
                </c:manualLayout>
              </c:layout>
              <c:showVal val="1"/>
            </c:dLbl>
            <c:dLbl>
              <c:idx val="5"/>
              <c:layout>
                <c:manualLayout>
                  <c:x val="0"/>
                  <c:y val="-2.7777777777777891E-2"/>
                </c:manualLayout>
              </c:layout>
              <c:showVal val="1"/>
            </c:dLbl>
            <c:showVal val="1"/>
          </c:dLbls>
          <c:cat>
            <c:strRef>
              <c:f>年初预算、决算支出对比!$B$4:$B$10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年初预算、决算支出对比!$C$4:$C$10</c:f>
              <c:numCache>
                <c:formatCode>General</c:formatCode>
                <c:ptCount val="7"/>
                <c:pt idx="0">
                  <c:v>935.3</c:v>
                </c:pt>
                <c:pt idx="1">
                  <c:v>252.09</c:v>
                </c:pt>
                <c:pt idx="2">
                  <c:v>50.8</c:v>
                </c:pt>
                <c:pt idx="3">
                  <c:v>0</c:v>
                </c:pt>
                <c:pt idx="4">
                  <c:v>360</c:v>
                </c:pt>
                <c:pt idx="5">
                  <c:v>41.64</c:v>
                </c:pt>
                <c:pt idx="6">
                  <c:v>0</c:v>
                </c:pt>
              </c:numCache>
            </c:numRef>
          </c:val>
        </c:ser>
        <c:ser>
          <c:idx val="1"/>
          <c:order val="1"/>
          <c:tx>
            <c:strRef>
              <c:f>年初预算、决算支出对比!$D$3</c:f>
              <c:strCache>
                <c:ptCount val="1"/>
                <c:pt idx="0">
                  <c:v>决算数</c:v>
                </c:pt>
              </c:strCache>
            </c:strRef>
          </c:tx>
          <c:dLbls>
            <c:dLbl>
              <c:idx val="0"/>
              <c:layout>
                <c:manualLayout>
                  <c:x val="2.7777777777777891E-2"/>
                  <c:y val="-1.8518518518518552E-2"/>
                </c:manualLayout>
              </c:layout>
              <c:showVal val="1"/>
            </c:dLbl>
            <c:dLbl>
              <c:idx val="1"/>
              <c:layout>
                <c:manualLayout>
                  <c:x val="1.1111111111111125E-2"/>
                  <c:y val="1.3888888888888926E-2"/>
                </c:manualLayout>
              </c:layout>
              <c:showVal val="1"/>
            </c:dLbl>
            <c:dLbl>
              <c:idx val="2"/>
              <c:layout>
                <c:manualLayout>
                  <c:x val="2.7777777777777891E-2"/>
                  <c:y val="0"/>
                </c:manualLayout>
              </c:layout>
              <c:showVal val="1"/>
            </c:dLbl>
            <c:dLbl>
              <c:idx val="4"/>
              <c:layout>
                <c:manualLayout>
                  <c:x val="1.3888888888888926E-2"/>
                  <c:y val="4.2437781360067067E-17"/>
                </c:manualLayout>
              </c:layout>
              <c:showVal val="1"/>
            </c:dLbl>
            <c:dLbl>
              <c:idx val="5"/>
              <c:layout>
                <c:manualLayout>
                  <c:x val="2.7777777777777913E-3"/>
                  <c:y val="1.3888888888888926E-2"/>
                </c:manualLayout>
              </c:layout>
              <c:showVal val="1"/>
            </c:dLbl>
            <c:showVal val="1"/>
          </c:dLbls>
          <c:cat>
            <c:strRef>
              <c:f>年初预算、决算支出对比!$B$4:$B$10</c:f>
              <c:strCache>
                <c:ptCount val="7"/>
                <c:pt idx="0">
                  <c:v>科学技术支出</c:v>
                </c:pt>
                <c:pt idx="1">
                  <c:v>社会保障和就业支出</c:v>
                </c:pt>
                <c:pt idx="2">
                  <c:v>卫生健康支出</c:v>
                </c:pt>
                <c:pt idx="3">
                  <c:v>资源勘探信息等支出</c:v>
                </c:pt>
                <c:pt idx="4">
                  <c:v>商业服务业支出</c:v>
                </c:pt>
                <c:pt idx="5">
                  <c:v>住房保障支出</c:v>
                </c:pt>
                <c:pt idx="6">
                  <c:v>其他支出</c:v>
                </c:pt>
              </c:strCache>
            </c:strRef>
          </c:cat>
          <c:val>
            <c:numRef>
              <c:f>年初预算、决算支出对比!$D$4:$D$10</c:f>
              <c:numCache>
                <c:formatCode>General</c:formatCode>
                <c:ptCount val="7"/>
                <c:pt idx="0">
                  <c:v>537.67999999999995</c:v>
                </c:pt>
                <c:pt idx="1">
                  <c:v>490.45</c:v>
                </c:pt>
                <c:pt idx="2">
                  <c:v>37.71</c:v>
                </c:pt>
                <c:pt idx="3">
                  <c:v>382.26</c:v>
                </c:pt>
                <c:pt idx="4">
                  <c:v>225</c:v>
                </c:pt>
                <c:pt idx="5">
                  <c:v>36.120000000000012</c:v>
                </c:pt>
                <c:pt idx="6">
                  <c:v>30</c:v>
                </c:pt>
              </c:numCache>
            </c:numRef>
          </c:val>
        </c:ser>
        <c:axId val="64715008"/>
        <c:axId val="64729088"/>
      </c:barChart>
      <c:catAx>
        <c:axId val="64715008"/>
        <c:scaling>
          <c:orientation val="minMax"/>
        </c:scaling>
        <c:axPos val="b"/>
        <c:tickLblPos val="nextTo"/>
        <c:crossAx val="64729088"/>
        <c:crosses val="autoZero"/>
        <c:auto val="1"/>
        <c:lblAlgn val="ctr"/>
        <c:lblOffset val="100"/>
      </c:catAx>
      <c:valAx>
        <c:axId val="64729088"/>
        <c:scaling>
          <c:orientation val="minMax"/>
        </c:scaling>
        <c:axPos val="l"/>
        <c:majorGridlines/>
        <c:numFmt formatCode="General" sourceLinked="1"/>
        <c:tickLblPos val="nextTo"/>
        <c:crossAx val="6471500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72B4D874-34D0-4CFB-8273-CA9BB86421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34</Pages>
  <Words>2302</Words>
  <Characters>13127</Characters>
  <Application>Microsoft Office Word</Application>
  <DocSecurity>0</DocSecurity>
  <Lines>109</Lines>
  <Paragraphs>30</Paragraphs>
  <ScaleCrop>false</ScaleCrop>
  <Company>Microsoft</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160</cp:revision>
  <cp:lastPrinted>2020-09-01T08:31:00Z</cp:lastPrinted>
  <dcterms:created xsi:type="dcterms:W3CDTF">2019-11-18T06:52:00Z</dcterms:created>
  <dcterms:modified xsi:type="dcterms:W3CDTF">2020-09-01T08:37:00Z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