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435" w:rsidRDefault="00D3643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36435" w:rsidRDefault="00D3643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36435" w:rsidRDefault="00C05A13">
      <w:pPr>
        <w:widowControl w:val="0"/>
        <w:adjustRightInd/>
        <w:snapToGrid/>
        <w:spacing w:after="0" w:line="480" w:lineRule="auto"/>
        <w:jc w:val="center"/>
        <w:rPr>
          <w:rFonts w:ascii="黑体" w:eastAsia="黑体" w:hAnsi="黑体" w:cs="Times New Roman"/>
          <w:bCs/>
          <w:kern w:val="2"/>
          <w:sz w:val="48"/>
          <w:szCs w:val="48"/>
        </w:rPr>
      </w:pPr>
      <w:r>
        <w:rPr>
          <w:rFonts w:ascii="黑体" w:eastAsia="黑体" w:hAnsi="黑体" w:cs="Times New Roman" w:hint="eastAsia"/>
          <w:bCs/>
          <w:kern w:val="2"/>
          <w:sz w:val="48"/>
          <w:szCs w:val="48"/>
        </w:rPr>
        <w:t>保定市徐水区人民</w:t>
      </w:r>
      <w:r>
        <w:rPr>
          <w:rFonts w:ascii="黑体" w:eastAsia="黑体" w:hAnsi="黑体" w:cs="Times New Roman"/>
          <w:bCs/>
          <w:kern w:val="2"/>
          <w:sz w:val="48"/>
          <w:szCs w:val="48"/>
        </w:rPr>
        <w:t>法院</w:t>
      </w:r>
      <w:r>
        <w:rPr>
          <w:rFonts w:ascii="黑体" w:eastAsia="黑体" w:hAnsi="黑体" w:cs="Times New Roman" w:hint="eastAsia"/>
          <w:bCs/>
          <w:kern w:val="2"/>
          <w:sz w:val="48"/>
          <w:szCs w:val="48"/>
        </w:rPr>
        <w:t>2019</w:t>
      </w:r>
      <w:r>
        <w:rPr>
          <w:rFonts w:ascii="黑体" w:eastAsia="黑体" w:hAnsi="黑体" w:cs="Times New Roman" w:hint="eastAsia"/>
          <w:bCs/>
          <w:kern w:val="2"/>
          <w:sz w:val="48"/>
          <w:szCs w:val="48"/>
        </w:rPr>
        <w:t>年部门</w:t>
      </w:r>
    </w:p>
    <w:p w:rsidR="00D36435" w:rsidRDefault="00C05A13">
      <w:pPr>
        <w:widowControl w:val="0"/>
        <w:adjustRightInd/>
        <w:snapToGrid/>
        <w:spacing w:after="0" w:line="480" w:lineRule="auto"/>
        <w:jc w:val="center"/>
        <w:rPr>
          <w:rFonts w:ascii="黑体" w:eastAsia="黑体" w:hAnsi="黑体" w:cs="Times New Roman"/>
          <w:bCs/>
          <w:kern w:val="2"/>
          <w:sz w:val="48"/>
          <w:szCs w:val="48"/>
        </w:rPr>
      </w:pPr>
      <w:r>
        <w:rPr>
          <w:rFonts w:ascii="黑体" w:eastAsia="黑体" w:hAnsi="黑体" w:cs="Times New Roman" w:hint="eastAsia"/>
          <w:bCs/>
          <w:kern w:val="2"/>
          <w:sz w:val="48"/>
          <w:szCs w:val="48"/>
        </w:rPr>
        <w:t>整体支出绩效评价自评报告</w:t>
      </w:r>
    </w:p>
    <w:p w:rsidR="00D36435" w:rsidRDefault="00D3643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36435" w:rsidRDefault="00D3643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36435" w:rsidRDefault="00D3643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36435" w:rsidRDefault="00D3643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36435" w:rsidRDefault="00D3643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36435" w:rsidRDefault="00D3643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36435" w:rsidRDefault="00D3643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36435" w:rsidRDefault="00D3643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36435" w:rsidRDefault="00D3643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36435" w:rsidRDefault="00D3643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36435" w:rsidRDefault="00D3643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36435" w:rsidRDefault="00D3643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36435" w:rsidRDefault="00D3643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36435" w:rsidRDefault="00C05A13">
      <w:pPr>
        <w:widowControl w:val="0"/>
        <w:adjustRightInd/>
        <w:snapToGrid/>
        <w:spacing w:after="0" w:line="540" w:lineRule="exact"/>
        <w:ind w:firstLineChars="200" w:firstLine="720"/>
        <w:jc w:val="center"/>
        <w:rPr>
          <w:rFonts w:asciiTheme="minorEastAsia" w:eastAsiaTheme="minorEastAsia" w:hAnsiTheme="minorEastAsia" w:cs="Times New Roman"/>
          <w:bCs/>
          <w:kern w:val="2"/>
          <w:sz w:val="36"/>
          <w:szCs w:val="36"/>
        </w:rPr>
      </w:pPr>
      <w:r>
        <w:rPr>
          <w:rFonts w:asciiTheme="minorEastAsia" w:eastAsiaTheme="minorEastAsia" w:hAnsiTheme="minorEastAsia" w:cs="Times New Roman" w:hint="eastAsia"/>
          <w:bCs/>
          <w:kern w:val="2"/>
          <w:sz w:val="36"/>
          <w:szCs w:val="36"/>
        </w:rPr>
        <w:t>2020</w:t>
      </w:r>
      <w:r>
        <w:rPr>
          <w:rFonts w:asciiTheme="minorEastAsia" w:eastAsiaTheme="minorEastAsia" w:hAnsiTheme="minorEastAsia" w:cs="Times New Roman" w:hint="eastAsia"/>
          <w:bCs/>
          <w:kern w:val="2"/>
          <w:sz w:val="36"/>
          <w:szCs w:val="36"/>
        </w:rPr>
        <w:t>年</w:t>
      </w:r>
      <w:r>
        <w:rPr>
          <w:rFonts w:asciiTheme="minorEastAsia" w:eastAsiaTheme="minorEastAsia" w:hAnsiTheme="minorEastAsia" w:cs="Times New Roman"/>
          <w:bCs/>
          <w:kern w:val="2"/>
          <w:sz w:val="36"/>
          <w:szCs w:val="36"/>
        </w:rPr>
        <w:t>8</w:t>
      </w:r>
      <w:r>
        <w:rPr>
          <w:rFonts w:asciiTheme="minorEastAsia" w:eastAsiaTheme="minorEastAsia" w:hAnsiTheme="minorEastAsia" w:cs="Times New Roman" w:hint="eastAsia"/>
          <w:bCs/>
          <w:kern w:val="2"/>
          <w:sz w:val="36"/>
          <w:szCs w:val="36"/>
        </w:rPr>
        <w:t>月</w:t>
      </w:r>
    </w:p>
    <w:p w:rsidR="00D36435" w:rsidRDefault="00D3643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36435" w:rsidRDefault="00D3643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36435" w:rsidRDefault="00D3643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sdt>
      <w:sdtPr>
        <w:rPr>
          <w:rFonts w:ascii="Tahoma" w:eastAsia="微软雅黑" w:hAnsi="Tahoma" w:cstheme="minorBidi"/>
          <w:b w:val="0"/>
          <w:bCs w:val="0"/>
          <w:color w:val="auto"/>
          <w:sz w:val="22"/>
          <w:szCs w:val="22"/>
          <w:lang w:val="zh-CN"/>
        </w:rPr>
        <w:id w:val="8905895"/>
      </w:sdtPr>
      <w:sdtEndPr>
        <w:rPr>
          <w:lang w:val="en-US"/>
        </w:rPr>
      </w:sdtEndPr>
      <w:sdtContent>
        <w:p w:rsidR="00D36435" w:rsidRDefault="00C05A13">
          <w:pPr>
            <w:pStyle w:val="TOC1"/>
            <w:ind w:firstLineChars="200" w:firstLine="44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rsidR="00D36435" w:rsidRDefault="00C05A13">
          <w:pPr>
            <w:pStyle w:val="21"/>
            <w:tabs>
              <w:tab w:val="right" w:leader="dot" w:pos="8312"/>
            </w:tabs>
            <w:spacing w:line="312" w:lineRule="auto"/>
            <w:ind w:leftChars="0" w:left="0"/>
            <w:rPr>
              <w:rFonts w:asciiTheme="majorEastAsia" w:eastAsiaTheme="majorEastAsia" w:hAnsiTheme="majorEastAsia" w:cstheme="majorEastAsia"/>
              <w:b/>
              <w:bCs/>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TOC \o "1-3" \h \z \u </w:instrText>
          </w:r>
          <w:r>
            <w:rPr>
              <w:rFonts w:asciiTheme="minorEastAsia" w:eastAsiaTheme="minorEastAsia" w:hAnsiTheme="minorEastAsia"/>
              <w:sz w:val="24"/>
            </w:rPr>
            <w:fldChar w:fldCharType="separate"/>
          </w:r>
          <w:hyperlink w:anchor="_Toc25184" w:history="1">
            <w:r>
              <w:rPr>
                <w:rFonts w:asciiTheme="majorEastAsia" w:eastAsiaTheme="majorEastAsia" w:hAnsiTheme="majorEastAsia" w:cstheme="majorEastAsia" w:hint="eastAsia"/>
                <w:b/>
                <w:bCs/>
                <w:sz w:val="24"/>
              </w:rPr>
              <w:t>第一部分</w:t>
            </w:r>
            <w:r>
              <w:rPr>
                <w:rFonts w:asciiTheme="majorEastAsia" w:eastAsiaTheme="majorEastAsia" w:hAnsiTheme="majorEastAsia" w:cstheme="majorEastAsia" w:hint="eastAsia"/>
                <w:b/>
                <w:bCs/>
                <w:sz w:val="24"/>
              </w:rPr>
              <w:t xml:space="preserve">   </w:t>
            </w:r>
            <w:r>
              <w:rPr>
                <w:rFonts w:asciiTheme="majorEastAsia" w:eastAsiaTheme="majorEastAsia" w:hAnsiTheme="majorEastAsia" w:cstheme="majorEastAsia" w:hint="eastAsia"/>
                <w:b/>
                <w:bCs/>
                <w:sz w:val="24"/>
              </w:rPr>
              <w:t>摘</w:t>
            </w:r>
            <w:r>
              <w:rPr>
                <w:rFonts w:asciiTheme="majorEastAsia" w:eastAsiaTheme="majorEastAsia" w:hAnsiTheme="majorEastAsia" w:cstheme="majorEastAsia" w:hint="eastAsia"/>
                <w:b/>
                <w:bCs/>
                <w:sz w:val="24"/>
              </w:rPr>
              <w:t xml:space="preserve">  </w:t>
            </w:r>
            <w:r>
              <w:rPr>
                <w:rFonts w:asciiTheme="majorEastAsia" w:eastAsiaTheme="majorEastAsia" w:hAnsiTheme="majorEastAsia" w:cstheme="majorEastAsia" w:hint="eastAsia"/>
                <w:b/>
                <w:bCs/>
                <w:sz w:val="24"/>
              </w:rPr>
              <w:t>要</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_Toc25184 </w:instrText>
            </w:r>
            <w:r>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b/>
                <w:bCs/>
                <w:sz w:val="24"/>
              </w:rPr>
              <w:t>1</w:t>
            </w:r>
            <w:r>
              <w:rPr>
                <w:rFonts w:asciiTheme="majorEastAsia" w:eastAsiaTheme="majorEastAsia" w:hAnsiTheme="majorEastAsia" w:cstheme="majorEastAsia" w:hint="eastAsia"/>
                <w:b/>
                <w:bCs/>
                <w:sz w:val="24"/>
              </w:rPr>
              <w:fldChar w:fldCharType="end"/>
            </w:r>
          </w:hyperlink>
        </w:p>
        <w:p w:rsidR="00D36435" w:rsidRDefault="00C05A13">
          <w:pPr>
            <w:pStyle w:val="21"/>
            <w:tabs>
              <w:tab w:val="right" w:leader="dot" w:pos="8312"/>
            </w:tabs>
            <w:spacing w:line="312" w:lineRule="auto"/>
            <w:ind w:leftChars="0" w:left="0"/>
            <w:rPr>
              <w:rFonts w:asciiTheme="majorEastAsia" w:eastAsiaTheme="majorEastAsia" w:hAnsiTheme="majorEastAsia" w:cstheme="majorEastAsia"/>
              <w:sz w:val="24"/>
            </w:rPr>
          </w:pPr>
          <w:hyperlink w:anchor="_Toc4346" w:history="1">
            <w:r>
              <w:rPr>
                <w:rFonts w:asciiTheme="majorEastAsia" w:eastAsiaTheme="majorEastAsia" w:hAnsiTheme="majorEastAsia" w:cstheme="majorEastAsia" w:hint="eastAsia"/>
                <w:b/>
                <w:bCs/>
                <w:sz w:val="24"/>
              </w:rPr>
              <w:t>第二部分</w:t>
            </w:r>
            <w:r>
              <w:rPr>
                <w:rFonts w:asciiTheme="majorEastAsia" w:eastAsiaTheme="majorEastAsia" w:hAnsiTheme="majorEastAsia" w:cstheme="majorEastAsia" w:hint="eastAsia"/>
                <w:b/>
                <w:bCs/>
                <w:sz w:val="24"/>
              </w:rPr>
              <w:t xml:space="preserve">   </w:t>
            </w:r>
            <w:r>
              <w:rPr>
                <w:rFonts w:asciiTheme="majorEastAsia" w:eastAsiaTheme="majorEastAsia" w:hAnsiTheme="majorEastAsia" w:cstheme="majorEastAsia" w:hint="eastAsia"/>
                <w:b/>
                <w:bCs/>
                <w:sz w:val="24"/>
              </w:rPr>
              <w:t>绩效评价报告</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_Toc4346 </w:instrText>
            </w:r>
            <w:r>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b/>
                <w:bCs/>
                <w:sz w:val="24"/>
              </w:rPr>
              <w:t>4</w:t>
            </w:r>
            <w:r>
              <w:rPr>
                <w:rFonts w:asciiTheme="majorEastAsia" w:eastAsiaTheme="majorEastAsia" w:hAnsiTheme="majorEastAsia" w:cstheme="majorEastAsia" w:hint="eastAsia"/>
                <w:b/>
                <w:bCs/>
                <w:sz w:val="24"/>
              </w:rPr>
              <w:fldChar w:fldCharType="end"/>
            </w:r>
          </w:hyperlink>
        </w:p>
        <w:p w:rsidR="00D36435" w:rsidRDefault="00C05A13">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427" w:history="1">
            <w:r>
              <w:rPr>
                <w:rFonts w:asciiTheme="majorEastAsia" w:eastAsiaTheme="majorEastAsia" w:hAnsiTheme="majorEastAsia" w:cstheme="majorEastAsia" w:hint="eastAsia"/>
                <w:b/>
                <w:bCs/>
                <w:sz w:val="24"/>
              </w:rPr>
              <w:t>一、保定市徐水区</w:t>
            </w:r>
            <w:r>
              <w:rPr>
                <w:rFonts w:asciiTheme="majorEastAsia" w:eastAsiaTheme="majorEastAsia" w:hAnsiTheme="majorEastAsia" w:cstheme="majorEastAsia" w:hint="eastAsia"/>
                <w:b/>
                <w:bCs/>
                <w:sz w:val="24"/>
              </w:rPr>
              <w:t>XXX</w:t>
            </w:r>
            <w:r>
              <w:rPr>
                <w:rFonts w:asciiTheme="majorEastAsia" w:eastAsiaTheme="majorEastAsia" w:hAnsiTheme="majorEastAsia" w:cstheme="majorEastAsia" w:hint="eastAsia"/>
                <w:b/>
                <w:bCs/>
                <w:sz w:val="24"/>
              </w:rPr>
              <w:t>基本情况</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_Toc427 </w:instrText>
            </w:r>
            <w:r>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b/>
                <w:bCs/>
                <w:sz w:val="24"/>
              </w:rPr>
              <w:t>5</w:t>
            </w:r>
            <w:r>
              <w:rPr>
                <w:rFonts w:asciiTheme="majorEastAsia" w:eastAsiaTheme="majorEastAsia" w:hAnsiTheme="majorEastAsia" w:cstheme="majorEastAsia" w:hint="eastAsia"/>
                <w:b/>
                <w:bCs/>
                <w:sz w:val="24"/>
              </w:rPr>
              <w:fldChar w:fldCharType="end"/>
            </w:r>
          </w:hyperlink>
        </w:p>
        <w:p w:rsidR="00D36435" w:rsidRDefault="00C05A1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1473" w:history="1">
            <w:r>
              <w:rPr>
                <w:rFonts w:asciiTheme="majorEastAsia" w:eastAsiaTheme="majorEastAsia" w:hAnsiTheme="majorEastAsia" w:cstheme="majorEastAsia" w:hint="eastAsia"/>
                <w:sz w:val="24"/>
              </w:rPr>
              <w:t>（一）部门职责和工作活动</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_Toc11473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sz w:val="24"/>
              </w:rPr>
              <w:t>5</w:t>
            </w:r>
            <w:r>
              <w:rPr>
                <w:rFonts w:asciiTheme="majorEastAsia" w:eastAsiaTheme="majorEastAsia" w:hAnsiTheme="majorEastAsia" w:cstheme="majorEastAsia" w:hint="eastAsia"/>
                <w:sz w:val="24"/>
              </w:rPr>
              <w:fldChar w:fldCharType="end"/>
            </w:r>
          </w:hyperlink>
        </w:p>
        <w:p w:rsidR="00D36435" w:rsidRDefault="00C05A1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075" w:history="1">
            <w:r>
              <w:rPr>
                <w:rFonts w:asciiTheme="majorEastAsia" w:eastAsiaTheme="majorEastAsia" w:hAnsiTheme="majorEastAsia" w:cstheme="majorEastAsia" w:hint="eastAsia"/>
                <w:sz w:val="24"/>
              </w:rPr>
              <w:t>（二）部门年度发展规划总体目标和职责分类绩效目标</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_Toc7075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sz w:val="24"/>
              </w:rPr>
              <w:t>5</w:t>
            </w:r>
            <w:r>
              <w:rPr>
                <w:rFonts w:asciiTheme="majorEastAsia" w:eastAsiaTheme="majorEastAsia" w:hAnsiTheme="majorEastAsia" w:cstheme="majorEastAsia" w:hint="eastAsia"/>
                <w:sz w:val="24"/>
              </w:rPr>
              <w:fldChar w:fldCharType="end"/>
            </w:r>
          </w:hyperlink>
        </w:p>
        <w:p w:rsidR="00D36435" w:rsidRDefault="00C05A1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678" w:history="1">
            <w:r>
              <w:rPr>
                <w:rFonts w:asciiTheme="majorEastAsia" w:eastAsiaTheme="majorEastAsia" w:hAnsiTheme="majorEastAsia" w:cstheme="majorEastAsia" w:hint="eastAsia"/>
                <w:sz w:val="24"/>
              </w:rPr>
              <w:t>（三）部门预算收入及决算收入</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_Toc1678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sz w:val="24"/>
              </w:rPr>
              <w:t>6</w:t>
            </w:r>
            <w:r>
              <w:rPr>
                <w:rFonts w:asciiTheme="majorEastAsia" w:eastAsiaTheme="majorEastAsia" w:hAnsiTheme="majorEastAsia" w:cstheme="majorEastAsia" w:hint="eastAsia"/>
                <w:sz w:val="24"/>
              </w:rPr>
              <w:fldChar w:fldCharType="end"/>
            </w:r>
          </w:hyperlink>
        </w:p>
        <w:p w:rsidR="00D36435" w:rsidRDefault="00C05A1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8197" w:history="1">
            <w:r>
              <w:rPr>
                <w:rFonts w:asciiTheme="majorEastAsia" w:eastAsiaTheme="majorEastAsia" w:hAnsiTheme="majorEastAsia" w:cstheme="majorEastAsia" w:hint="eastAsia"/>
                <w:sz w:val="24"/>
              </w:rPr>
              <w:t>（四）预算支出及决算支出</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_Toc18197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sz w:val="24"/>
              </w:rPr>
              <w:t>7</w:t>
            </w:r>
            <w:r>
              <w:rPr>
                <w:rFonts w:asciiTheme="majorEastAsia" w:eastAsiaTheme="majorEastAsia" w:hAnsiTheme="majorEastAsia" w:cstheme="majorEastAsia" w:hint="eastAsia"/>
                <w:sz w:val="24"/>
              </w:rPr>
              <w:fldChar w:fldCharType="end"/>
            </w:r>
          </w:hyperlink>
        </w:p>
        <w:p w:rsidR="00D36435" w:rsidRDefault="00C05A1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9291" w:history="1">
            <w:r>
              <w:rPr>
                <w:rFonts w:asciiTheme="majorEastAsia" w:eastAsiaTheme="majorEastAsia" w:hAnsiTheme="majorEastAsia" w:cstheme="majorEastAsia" w:hint="eastAsia"/>
                <w:sz w:val="24"/>
              </w:rPr>
              <w:t>（五）“三公”经费预算安排及支出情况</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_Toc19291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sz w:val="24"/>
              </w:rPr>
              <w:t>9</w:t>
            </w:r>
            <w:r>
              <w:rPr>
                <w:rFonts w:asciiTheme="majorEastAsia" w:eastAsiaTheme="majorEastAsia" w:hAnsiTheme="majorEastAsia" w:cstheme="majorEastAsia" w:hint="eastAsia"/>
                <w:sz w:val="24"/>
              </w:rPr>
              <w:fldChar w:fldCharType="end"/>
            </w:r>
          </w:hyperlink>
        </w:p>
        <w:p w:rsidR="00D36435" w:rsidRDefault="00C05A13">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20454" w:history="1">
            <w:r>
              <w:rPr>
                <w:rFonts w:asciiTheme="majorEastAsia" w:eastAsiaTheme="majorEastAsia" w:hAnsiTheme="majorEastAsia" w:cstheme="majorEastAsia" w:hint="eastAsia"/>
                <w:b/>
                <w:bCs/>
                <w:sz w:val="24"/>
              </w:rPr>
              <w:t>二、部门整体支出绩效评价指标体系设定情况</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_Toc20454 </w:instrText>
            </w:r>
            <w:r>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b/>
                <w:bCs/>
                <w:sz w:val="24"/>
              </w:rPr>
              <w:t>10</w:t>
            </w:r>
            <w:r>
              <w:rPr>
                <w:rFonts w:asciiTheme="majorEastAsia" w:eastAsiaTheme="majorEastAsia" w:hAnsiTheme="majorEastAsia" w:cstheme="majorEastAsia" w:hint="eastAsia"/>
                <w:b/>
                <w:bCs/>
                <w:sz w:val="24"/>
              </w:rPr>
              <w:fldChar w:fldCharType="end"/>
            </w:r>
          </w:hyperlink>
        </w:p>
        <w:p w:rsidR="00D36435" w:rsidRDefault="00C05A13">
          <w:pPr>
            <w:pStyle w:val="21"/>
            <w:tabs>
              <w:tab w:val="right" w:leader="dot" w:pos="8312"/>
            </w:tabs>
            <w:spacing w:line="312" w:lineRule="auto"/>
            <w:ind w:leftChars="0" w:left="0" w:firstLineChars="100" w:firstLine="300"/>
            <w:rPr>
              <w:rFonts w:asciiTheme="majorEastAsia" w:eastAsiaTheme="majorEastAsia" w:hAnsiTheme="majorEastAsia" w:cstheme="majorEastAsia"/>
              <w:sz w:val="24"/>
            </w:rPr>
          </w:pPr>
          <w:hyperlink w:anchor="_Toc9569" w:history="1">
            <w:r>
              <w:rPr>
                <w:rFonts w:asciiTheme="majorEastAsia" w:eastAsiaTheme="majorEastAsia" w:hAnsiTheme="majorEastAsia" w:cstheme="majorEastAsia" w:hint="eastAsia"/>
                <w:sz w:val="24"/>
              </w:rPr>
              <w:t>（一）投入</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_Toc9569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sz w:val="24"/>
              </w:rPr>
              <w:t>1</w:t>
            </w:r>
            <w:r>
              <w:rPr>
                <w:rFonts w:asciiTheme="majorEastAsia" w:eastAsiaTheme="majorEastAsia" w:hAnsiTheme="majorEastAsia" w:cstheme="majorEastAsia"/>
                <w:sz w:val="24"/>
              </w:rPr>
              <w:t>0</w:t>
            </w:r>
            <w:r>
              <w:rPr>
                <w:rFonts w:asciiTheme="majorEastAsia" w:eastAsiaTheme="majorEastAsia" w:hAnsiTheme="majorEastAsia" w:cstheme="majorEastAsia" w:hint="eastAsia"/>
                <w:sz w:val="24"/>
              </w:rPr>
              <w:fldChar w:fldCharType="end"/>
            </w:r>
          </w:hyperlink>
        </w:p>
        <w:p w:rsidR="00D36435" w:rsidRDefault="00C05A1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30221" w:history="1">
            <w:r>
              <w:rPr>
                <w:rFonts w:asciiTheme="majorEastAsia" w:eastAsiaTheme="majorEastAsia" w:hAnsiTheme="majorEastAsia" w:cstheme="majorEastAsia" w:hint="eastAsia"/>
                <w:sz w:val="24"/>
              </w:rPr>
              <w:t>（二）过程</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_Toc30221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sz w:val="24"/>
              </w:rPr>
              <w:t>11</w:t>
            </w:r>
            <w:r>
              <w:rPr>
                <w:rFonts w:asciiTheme="majorEastAsia" w:eastAsiaTheme="majorEastAsia" w:hAnsiTheme="majorEastAsia" w:cstheme="majorEastAsia" w:hint="eastAsia"/>
                <w:sz w:val="24"/>
              </w:rPr>
              <w:fldChar w:fldCharType="end"/>
            </w:r>
          </w:hyperlink>
        </w:p>
        <w:p w:rsidR="00D36435" w:rsidRDefault="00C05A1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4932" w:history="1">
            <w:r>
              <w:rPr>
                <w:rFonts w:asciiTheme="majorEastAsia" w:eastAsiaTheme="majorEastAsia" w:hAnsiTheme="majorEastAsia" w:cstheme="majorEastAsia" w:hint="eastAsia"/>
                <w:sz w:val="24"/>
              </w:rPr>
              <w:t>（三）产出</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_Toc24932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sz w:val="24"/>
              </w:rPr>
              <w:t>11</w:t>
            </w:r>
            <w:r>
              <w:rPr>
                <w:rFonts w:asciiTheme="majorEastAsia" w:eastAsiaTheme="majorEastAsia" w:hAnsiTheme="majorEastAsia" w:cstheme="majorEastAsia" w:hint="eastAsia"/>
                <w:sz w:val="24"/>
              </w:rPr>
              <w:fldChar w:fldCharType="end"/>
            </w:r>
          </w:hyperlink>
        </w:p>
        <w:p w:rsidR="00D36435" w:rsidRDefault="00C05A1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1821" w:history="1">
            <w:r>
              <w:rPr>
                <w:rFonts w:asciiTheme="majorEastAsia" w:eastAsiaTheme="majorEastAsia" w:hAnsiTheme="majorEastAsia" w:cstheme="majorEastAsia" w:hint="eastAsia"/>
                <w:sz w:val="24"/>
              </w:rPr>
              <w:t>（四）效果</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_Toc21821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sz w:val="24"/>
              </w:rPr>
              <w:t>12</w:t>
            </w:r>
            <w:r>
              <w:rPr>
                <w:rFonts w:asciiTheme="majorEastAsia" w:eastAsiaTheme="majorEastAsia" w:hAnsiTheme="majorEastAsia" w:cstheme="majorEastAsia" w:hint="eastAsia"/>
                <w:sz w:val="24"/>
              </w:rPr>
              <w:fldChar w:fldCharType="end"/>
            </w:r>
          </w:hyperlink>
        </w:p>
        <w:p w:rsidR="00D36435" w:rsidRDefault="00C05A13">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11842" w:history="1">
            <w:r>
              <w:rPr>
                <w:rFonts w:asciiTheme="majorEastAsia" w:eastAsiaTheme="majorEastAsia" w:hAnsiTheme="majorEastAsia" w:cstheme="majorEastAsia" w:hint="eastAsia"/>
                <w:b/>
                <w:bCs/>
                <w:sz w:val="24"/>
              </w:rPr>
              <w:t>三、综合绩效评价工作情况</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_Toc11842 </w:instrText>
            </w:r>
            <w:r>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b/>
                <w:bCs/>
                <w:sz w:val="24"/>
              </w:rPr>
              <w:t>12</w:t>
            </w:r>
            <w:r>
              <w:rPr>
                <w:rFonts w:asciiTheme="majorEastAsia" w:eastAsiaTheme="majorEastAsia" w:hAnsiTheme="majorEastAsia" w:cstheme="majorEastAsia" w:hint="eastAsia"/>
                <w:b/>
                <w:bCs/>
                <w:sz w:val="24"/>
              </w:rPr>
              <w:fldChar w:fldCharType="end"/>
            </w:r>
          </w:hyperlink>
        </w:p>
        <w:p w:rsidR="00D36435" w:rsidRDefault="00C05A1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7138" w:history="1">
            <w:r>
              <w:rPr>
                <w:rFonts w:asciiTheme="majorEastAsia" w:eastAsiaTheme="majorEastAsia" w:hAnsiTheme="majorEastAsia" w:cstheme="majorEastAsia" w:hint="eastAsia"/>
                <w:sz w:val="24"/>
              </w:rPr>
              <w:t>（一）绩效评价目的</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_Toc17138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sz w:val="24"/>
              </w:rPr>
              <w:t>12</w:t>
            </w:r>
            <w:r>
              <w:rPr>
                <w:rFonts w:asciiTheme="majorEastAsia" w:eastAsiaTheme="majorEastAsia" w:hAnsiTheme="majorEastAsia" w:cstheme="majorEastAsia" w:hint="eastAsia"/>
                <w:sz w:val="24"/>
              </w:rPr>
              <w:fldChar w:fldCharType="end"/>
            </w:r>
          </w:hyperlink>
        </w:p>
        <w:p w:rsidR="00D36435" w:rsidRDefault="00C05A1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1607" w:history="1">
            <w:r>
              <w:rPr>
                <w:rFonts w:asciiTheme="majorEastAsia" w:eastAsiaTheme="majorEastAsia" w:hAnsiTheme="majorEastAsia" w:cstheme="majorEastAsia" w:hint="eastAsia"/>
                <w:sz w:val="24"/>
              </w:rPr>
              <w:t>（二）绩效评价依据</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_Toc11607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sz w:val="24"/>
              </w:rPr>
              <w:t>12</w:t>
            </w:r>
            <w:r>
              <w:rPr>
                <w:rFonts w:asciiTheme="majorEastAsia" w:eastAsiaTheme="majorEastAsia" w:hAnsiTheme="majorEastAsia" w:cstheme="majorEastAsia" w:hint="eastAsia"/>
                <w:sz w:val="24"/>
              </w:rPr>
              <w:fldChar w:fldCharType="end"/>
            </w:r>
          </w:hyperlink>
        </w:p>
        <w:p w:rsidR="00D36435" w:rsidRDefault="00C05A1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609" w:history="1">
            <w:r>
              <w:rPr>
                <w:rFonts w:asciiTheme="majorEastAsia" w:eastAsiaTheme="majorEastAsia" w:hAnsiTheme="majorEastAsia" w:cstheme="majorEastAsia" w:hint="eastAsia"/>
                <w:sz w:val="24"/>
              </w:rPr>
              <w:t>（三）绩效评价内容</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_Toc7609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sz w:val="24"/>
              </w:rPr>
              <w:t>13</w:t>
            </w:r>
            <w:r>
              <w:rPr>
                <w:rFonts w:asciiTheme="majorEastAsia" w:eastAsiaTheme="majorEastAsia" w:hAnsiTheme="majorEastAsia" w:cstheme="majorEastAsia" w:hint="eastAsia"/>
                <w:sz w:val="24"/>
              </w:rPr>
              <w:fldChar w:fldCharType="end"/>
            </w:r>
          </w:hyperlink>
        </w:p>
        <w:p w:rsidR="00D36435" w:rsidRDefault="00C05A1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89" w:history="1">
            <w:r>
              <w:rPr>
                <w:rFonts w:asciiTheme="majorEastAsia" w:eastAsiaTheme="majorEastAsia" w:hAnsiTheme="majorEastAsia" w:cstheme="majorEastAsia" w:hint="eastAsia"/>
                <w:sz w:val="24"/>
              </w:rPr>
              <w:t>（四）绩效评价原则</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_Toc789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sz w:val="24"/>
              </w:rPr>
              <w:t>13</w:t>
            </w:r>
            <w:r>
              <w:rPr>
                <w:rFonts w:asciiTheme="majorEastAsia" w:eastAsiaTheme="majorEastAsia" w:hAnsiTheme="majorEastAsia" w:cstheme="majorEastAsia" w:hint="eastAsia"/>
                <w:sz w:val="24"/>
              </w:rPr>
              <w:fldChar w:fldCharType="end"/>
            </w:r>
          </w:hyperlink>
        </w:p>
        <w:p w:rsidR="00D36435" w:rsidRDefault="00C05A1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8171" w:history="1">
            <w:r>
              <w:rPr>
                <w:rFonts w:asciiTheme="majorEastAsia" w:eastAsiaTheme="majorEastAsia" w:hAnsiTheme="majorEastAsia" w:cstheme="majorEastAsia" w:hint="eastAsia"/>
                <w:sz w:val="24"/>
              </w:rPr>
              <w:t>（五）绩效评价方法</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_Toc8171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sz w:val="24"/>
              </w:rPr>
              <w:t>14</w:t>
            </w:r>
            <w:r>
              <w:rPr>
                <w:rFonts w:asciiTheme="majorEastAsia" w:eastAsiaTheme="majorEastAsia" w:hAnsiTheme="majorEastAsia" w:cstheme="majorEastAsia" w:hint="eastAsia"/>
                <w:sz w:val="24"/>
              </w:rPr>
              <w:fldChar w:fldCharType="end"/>
            </w:r>
          </w:hyperlink>
        </w:p>
        <w:p w:rsidR="00D36435" w:rsidRDefault="00C05A1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0821" w:history="1">
            <w:r>
              <w:rPr>
                <w:rFonts w:asciiTheme="majorEastAsia" w:eastAsiaTheme="majorEastAsia" w:hAnsiTheme="majorEastAsia" w:cstheme="majorEastAsia" w:hint="eastAsia"/>
                <w:sz w:val="24"/>
              </w:rPr>
              <w:t>（六）绩效评价工作过程</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_Toc20821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sz w:val="24"/>
              </w:rPr>
              <w:t>14</w:t>
            </w:r>
            <w:r>
              <w:rPr>
                <w:rFonts w:asciiTheme="majorEastAsia" w:eastAsiaTheme="majorEastAsia" w:hAnsiTheme="majorEastAsia" w:cstheme="majorEastAsia" w:hint="eastAsia"/>
                <w:sz w:val="24"/>
              </w:rPr>
              <w:fldChar w:fldCharType="end"/>
            </w:r>
          </w:hyperlink>
        </w:p>
        <w:p w:rsidR="00D36435" w:rsidRDefault="00C05A13">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6467" w:history="1">
            <w:r>
              <w:rPr>
                <w:rFonts w:asciiTheme="majorEastAsia" w:eastAsiaTheme="majorEastAsia" w:hAnsiTheme="majorEastAsia" w:cstheme="majorEastAsia" w:hint="eastAsia"/>
                <w:b/>
                <w:bCs/>
                <w:sz w:val="24"/>
              </w:rPr>
              <w:t>四、绩效评价评分情况</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_Toc6467 </w:instrText>
            </w:r>
            <w:r>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b/>
                <w:bCs/>
                <w:sz w:val="24"/>
              </w:rPr>
              <w:t>16</w:t>
            </w:r>
            <w:r>
              <w:rPr>
                <w:rFonts w:asciiTheme="majorEastAsia" w:eastAsiaTheme="majorEastAsia" w:hAnsiTheme="majorEastAsia" w:cstheme="majorEastAsia" w:hint="eastAsia"/>
                <w:b/>
                <w:bCs/>
                <w:sz w:val="24"/>
              </w:rPr>
              <w:fldChar w:fldCharType="end"/>
            </w:r>
          </w:hyperlink>
        </w:p>
        <w:p w:rsidR="00D36435" w:rsidRDefault="00C05A1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4390" w:history="1">
            <w:r>
              <w:rPr>
                <w:rFonts w:asciiTheme="majorEastAsia" w:eastAsiaTheme="majorEastAsia" w:hAnsiTheme="majorEastAsia" w:cstheme="majorEastAsia" w:hint="eastAsia"/>
                <w:sz w:val="24"/>
              </w:rPr>
              <w:t>（一）投入</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_Toc4390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sz w:val="24"/>
              </w:rPr>
              <w:t>16</w:t>
            </w:r>
            <w:r>
              <w:rPr>
                <w:rFonts w:asciiTheme="majorEastAsia" w:eastAsiaTheme="majorEastAsia" w:hAnsiTheme="majorEastAsia" w:cstheme="majorEastAsia" w:hint="eastAsia"/>
                <w:sz w:val="24"/>
              </w:rPr>
              <w:fldChar w:fldCharType="end"/>
            </w:r>
          </w:hyperlink>
        </w:p>
        <w:p w:rsidR="00D36435" w:rsidRDefault="00C05A1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9940" w:history="1">
            <w:r>
              <w:rPr>
                <w:rFonts w:asciiTheme="majorEastAsia" w:eastAsiaTheme="majorEastAsia" w:hAnsiTheme="majorEastAsia" w:cstheme="majorEastAsia" w:hint="eastAsia"/>
                <w:sz w:val="24"/>
              </w:rPr>
              <w:t>（二）过程</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_Toc19940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sz w:val="24"/>
              </w:rPr>
              <w:t>19</w:t>
            </w:r>
            <w:r>
              <w:rPr>
                <w:rFonts w:asciiTheme="majorEastAsia" w:eastAsiaTheme="majorEastAsia" w:hAnsiTheme="majorEastAsia" w:cstheme="majorEastAsia" w:hint="eastAsia"/>
                <w:sz w:val="24"/>
              </w:rPr>
              <w:fldChar w:fldCharType="end"/>
            </w:r>
          </w:hyperlink>
        </w:p>
        <w:p w:rsidR="00D36435" w:rsidRDefault="00C05A1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2330" w:history="1">
            <w:r>
              <w:rPr>
                <w:rFonts w:asciiTheme="majorEastAsia" w:eastAsiaTheme="majorEastAsia" w:hAnsiTheme="majorEastAsia" w:cstheme="majorEastAsia" w:hint="eastAsia"/>
                <w:sz w:val="24"/>
              </w:rPr>
              <w:t>（三）产出</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_Toc12330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sz w:val="24"/>
              </w:rPr>
              <w:t>26</w:t>
            </w:r>
            <w:r>
              <w:rPr>
                <w:rFonts w:asciiTheme="majorEastAsia" w:eastAsiaTheme="majorEastAsia" w:hAnsiTheme="majorEastAsia" w:cstheme="majorEastAsia" w:hint="eastAsia"/>
                <w:sz w:val="24"/>
              </w:rPr>
              <w:fldChar w:fldCharType="end"/>
            </w:r>
          </w:hyperlink>
        </w:p>
        <w:p w:rsidR="00D36435" w:rsidRDefault="00C05A1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8363" w:history="1">
            <w:r>
              <w:rPr>
                <w:rFonts w:asciiTheme="majorEastAsia" w:eastAsiaTheme="majorEastAsia" w:hAnsiTheme="majorEastAsia" w:cstheme="majorEastAsia" w:hint="eastAsia"/>
                <w:sz w:val="24"/>
              </w:rPr>
              <w:t>（四）效果</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_Toc28363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sz w:val="24"/>
              </w:rPr>
              <w:t>28</w:t>
            </w:r>
            <w:r>
              <w:rPr>
                <w:rFonts w:asciiTheme="majorEastAsia" w:eastAsiaTheme="majorEastAsia" w:hAnsiTheme="majorEastAsia" w:cstheme="majorEastAsia" w:hint="eastAsia"/>
                <w:sz w:val="24"/>
              </w:rPr>
              <w:fldChar w:fldCharType="end"/>
            </w:r>
          </w:hyperlink>
        </w:p>
        <w:p w:rsidR="00D36435" w:rsidRDefault="00C05A13">
          <w:pPr>
            <w:pStyle w:val="21"/>
            <w:tabs>
              <w:tab w:val="right" w:leader="dot" w:pos="8312"/>
            </w:tabs>
            <w:spacing w:line="312" w:lineRule="auto"/>
            <w:ind w:leftChars="0" w:left="0"/>
            <w:rPr>
              <w:rFonts w:asciiTheme="majorEastAsia" w:eastAsiaTheme="majorEastAsia" w:hAnsiTheme="majorEastAsia" w:cstheme="majorEastAsia"/>
              <w:sz w:val="24"/>
            </w:rPr>
          </w:pPr>
          <w:hyperlink w:anchor="_Toc13757" w:history="1">
            <w:r>
              <w:rPr>
                <w:rFonts w:asciiTheme="majorEastAsia" w:eastAsiaTheme="majorEastAsia" w:hAnsiTheme="majorEastAsia" w:cstheme="majorEastAsia" w:hint="eastAsia"/>
                <w:b/>
                <w:bCs/>
                <w:sz w:val="24"/>
              </w:rPr>
              <w:t>五、绩效评价发现的问题</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_Toc13757 </w:instrText>
            </w:r>
            <w:r>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b/>
                <w:bCs/>
                <w:sz w:val="24"/>
              </w:rPr>
              <w:t>29</w:t>
            </w:r>
            <w:r>
              <w:rPr>
                <w:rFonts w:asciiTheme="majorEastAsia" w:eastAsiaTheme="majorEastAsia" w:hAnsiTheme="majorEastAsia" w:cstheme="majorEastAsia" w:hint="eastAsia"/>
                <w:b/>
                <w:bCs/>
                <w:sz w:val="24"/>
              </w:rPr>
              <w:fldChar w:fldCharType="end"/>
            </w:r>
          </w:hyperlink>
        </w:p>
        <w:p w:rsidR="00D36435" w:rsidRDefault="00C05A13">
          <w:pPr>
            <w:pStyle w:val="21"/>
            <w:tabs>
              <w:tab w:val="right" w:leader="dot" w:pos="8312"/>
            </w:tabs>
            <w:spacing w:line="312" w:lineRule="auto"/>
            <w:ind w:leftChars="0" w:left="0"/>
            <w:rPr>
              <w:b/>
              <w:bCs/>
            </w:rPr>
          </w:pPr>
          <w:hyperlink w:anchor="_Toc20723" w:history="1">
            <w:r>
              <w:rPr>
                <w:rFonts w:asciiTheme="majorEastAsia" w:eastAsiaTheme="majorEastAsia" w:hAnsiTheme="majorEastAsia" w:cstheme="majorEastAsia" w:hint="eastAsia"/>
                <w:b/>
                <w:bCs/>
                <w:sz w:val="24"/>
              </w:rPr>
              <w:t>六、绩效评价意见及建议</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_Toc20723 </w:instrText>
            </w:r>
            <w:r>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b/>
                <w:bCs/>
                <w:sz w:val="24"/>
              </w:rPr>
              <w:t>29</w:t>
            </w:r>
            <w:r>
              <w:rPr>
                <w:rFonts w:asciiTheme="majorEastAsia" w:eastAsiaTheme="majorEastAsia" w:hAnsiTheme="majorEastAsia" w:cstheme="majorEastAsia" w:hint="eastAsia"/>
                <w:b/>
                <w:bCs/>
                <w:sz w:val="24"/>
              </w:rPr>
              <w:fldChar w:fldCharType="end"/>
            </w:r>
          </w:hyperlink>
        </w:p>
        <w:p w:rsidR="00D36435" w:rsidRDefault="00C05A13">
          <w:pPr>
            <w:spacing w:line="312" w:lineRule="auto"/>
            <w:ind w:firstLineChars="200" w:firstLine="440"/>
            <w:jc w:val="both"/>
            <w:sectPr w:rsidR="00D36435">
              <w:footerReference w:type="default" r:id="rId8"/>
              <w:pgSz w:w="11906" w:h="16838"/>
              <w:pgMar w:top="1440" w:right="1797" w:bottom="1191" w:left="1797" w:header="709" w:footer="709" w:gutter="0"/>
              <w:pgNumType w:start="1"/>
              <w:cols w:space="708"/>
              <w:docGrid w:linePitch="360"/>
            </w:sectPr>
          </w:pPr>
          <w:r>
            <w:rPr>
              <w:rFonts w:asciiTheme="minorEastAsia" w:eastAsiaTheme="minorEastAsia" w:hAnsiTheme="minorEastAsia"/>
              <w:szCs w:val="24"/>
            </w:rPr>
            <w:fldChar w:fldCharType="end"/>
          </w:r>
        </w:p>
      </w:sdtContent>
    </w:sdt>
    <w:p w:rsidR="00D36435" w:rsidRDefault="00C05A13">
      <w:pPr>
        <w:pStyle w:val="2"/>
        <w:spacing w:line="540" w:lineRule="exact"/>
        <w:jc w:val="center"/>
        <w:rPr>
          <w:rFonts w:ascii="黑体" w:hAnsi="黑体"/>
          <w:b w:val="0"/>
        </w:rPr>
      </w:pPr>
      <w:bookmarkStart w:id="0" w:name="_Toc25184"/>
      <w:r>
        <w:rPr>
          <w:rFonts w:ascii="黑体" w:hAnsi="黑体" w:hint="eastAsia"/>
          <w:b w:val="0"/>
        </w:rPr>
        <w:lastRenderedPageBreak/>
        <w:t>第一部分</w:t>
      </w:r>
      <w:r>
        <w:rPr>
          <w:rFonts w:ascii="黑体" w:hAnsi="黑体" w:hint="eastAsia"/>
          <w:b w:val="0"/>
        </w:rPr>
        <w:t xml:space="preserve">   </w:t>
      </w:r>
      <w:r>
        <w:rPr>
          <w:rFonts w:ascii="黑体" w:hAnsi="黑体" w:hint="eastAsia"/>
          <w:b w:val="0"/>
        </w:rPr>
        <w:t>摘</w:t>
      </w:r>
      <w:r>
        <w:rPr>
          <w:rFonts w:ascii="黑体" w:hAnsi="黑体" w:hint="eastAsia"/>
          <w:b w:val="0"/>
        </w:rPr>
        <w:t xml:space="preserve">  </w:t>
      </w:r>
      <w:r>
        <w:rPr>
          <w:rFonts w:ascii="黑体" w:hAnsi="黑体" w:hint="eastAsia"/>
          <w:b w:val="0"/>
        </w:rPr>
        <w:t>要</w:t>
      </w:r>
      <w:bookmarkEnd w:id="0"/>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hint="eastAsia"/>
          <w:sz w:val="32"/>
          <w:szCs w:val="32"/>
        </w:rPr>
        <w:t>2019</w:t>
      </w:r>
      <w:r>
        <w:rPr>
          <w:rFonts w:ascii="仿宋_GB2312" w:eastAsia="仿宋_GB2312" w:cs="DengXian-Regular" w:hint="eastAsia"/>
          <w:sz w:val="32"/>
          <w:szCs w:val="32"/>
        </w:rPr>
        <w:t>年部门整体支出情况开展了绩效</w:t>
      </w:r>
      <w:proofErr w:type="gramStart"/>
      <w:r>
        <w:rPr>
          <w:rFonts w:ascii="仿宋_GB2312" w:eastAsia="仿宋_GB2312" w:cs="DengXian-Regular" w:hint="eastAsia"/>
          <w:sz w:val="32"/>
          <w:szCs w:val="32"/>
        </w:rPr>
        <w:t>自评价</w:t>
      </w:r>
      <w:proofErr w:type="gramEnd"/>
      <w:r>
        <w:rPr>
          <w:rFonts w:ascii="仿宋_GB2312" w:eastAsia="仿宋_GB2312" w:cs="DengXian-Regular" w:hint="eastAsia"/>
          <w:sz w:val="32"/>
          <w:szCs w:val="32"/>
        </w:rPr>
        <w:t>工作。</w:t>
      </w:r>
    </w:p>
    <w:p w:rsidR="00D36435" w:rsidRDefault="00C05A13">
      <w:pPr>
        <w:spacing w:line="500" w:lineRule="exact"/>
        <w:ind w:firstLineChars="200" w:firstLine="640"/>
        <w:rPr>
          <w:rFonts w:ascii="仿宋" w:eastAsia="仿宋" w:hAnsi="仿宋"/>
          <w:sz w:val="32"/>
          <w:szCs w:val="32"/>
        </w:rPr>
      </w:pPr>
      <w:r>
        <w:rPr>
          <w:rFonts w:ascii="仿宋_GB2312" w:eastAsia="仿宋_GB2312" w:cs="DengXian-Regular" w:hint="eastAsia"/>
          <w:sz w:val="32"/>
          <w:szCs w:val="32"/>
        </w:rPr>
        <w:t>保定市徐水区人民法院为正科级行政单位，经费保障形式为财政拨款，下设</w:t>
      </w:r>
      <w:r>
        <w:rPr>
          <w:rFonts w:ascii="仿宋_GB2312" w:eastAsia="仿宋_GB2312" w:cs="DengXian-Regular"/>
          <w:sz w:val="32"/>
          <w:szCs w:val="32"/>
        </w:rPr>
        <w:t>9</w:t>
      </w:r>
      <w:r>
        <w:rPr>
          <w:rFonts w:ascii="仿宋_GB2312" w:eastAsia="仿宋_GB2312" w:cs="DengXian-Regular" w:hint="eastAsia"/>
          <w:sz w:val="32"/>
          <w:szCs w:val="32"/>
        </w:rPr>
        <w:t>个股室，分别为综合办公室、政治部、刑事审判</w:t>
      </w:r>
      <w:r>
        <w:rPr>
          <w:rFonts w:ascii="仿宋_GB2312" w:eastAsia="仿宋_GB2312" w:cs="DengXian-Regular"/>
          <w:sz w:val="32"/>
          <w:szCs w:val="32"/>
        </w:rPr>
        <w:t>庭</w:t>
      </w:r>
      <w:r>
        <w:rPr>
          <w:rFonts w:ascii="仿宋_GB2312" w:eastAsia="仿宋_GB2312" w:cs="DengXian-Regular" w:hint="eastAsia"/>
          <w:sz w:val="32"/>
          <w:szCs w:val="32"/>
        </w:rPr>
        <w:t>、民事</w:t>
      </w:r>
      <w:r>
        <w:rPr>
          <w:rFonts w:ascii="仿宋_GB2312" w:eastAsia="仿宋_GB2312" w:cs="DengXian-Regular"/>
          <w:sz w:val="32"/>
          <w:szCs w:val="32"/>
        </w:rPr>
        <w:t>审判庭</w:t>
      </w:r>
      <w:r>
        <w:rPr>
          <w:rFonts w:ascii="仿宋_GB2312" w:eastAsia="仿宋_GB2312" w:cs="DengXian-Regular" w:hint="eastAsia"/>
          <w:sz w:val="32"/>
          <w:szCs w:val="32"/>
        </w:rPr>
        <w:t>、</w:t>
      </w:r>
      <w:r>
        <w:rPr>
          <w:rFonts w:ascii="仿宋_GB2312" w:eastAsia="仿宋_GB2312" w:cs="DengXian-Regular"/>
          <w:sz w:val="32"/>
          <w:szCs w:val="32"/>
        </w:rPr>
        <w:t>审判管理办公室</w:t>
      </w:r>
      <w:r>
        <w:rPr>
          <w:rFonts w:ascii="仿宋_GB2312" w:eastAsia="仿宋_GB2312" w:cs="DengXian-Regular" w:hint="eastAsia"/>
          <w:sz w:val="32"/>
          <w:szCs w:val="32"/>
        </w:rPr>
        <w:t>（</w:t>
      </w:r>
      <w:r>
        <w:rPr>
          <w:rFonts w:ascii="仿宋_GB2312" w:eastAsia="仿宋_GB2312" w:cs="DengXian-Regular"/>
          <w:sz w:val="32"/>
          <w:szCs w:val="32"/>
        </w:rPr>
        <w:t>研究室）、</w:t>
      </w:r>
      <w:r>
        <w:rPr>
          <w:rFonts w:ascii="仿宋_GB2312" w:eastAsia="仿宋_GB2312" w:cs="DengXian-Regular" w:hint="eastAsia"/>
          <w:sz w:val="32"/>
          <w:szCs w:val="32"/>
        </w:rPr>
        <w:t>行政</w:t>
      </w:r>
      <w:r>
        <w:rPr>
          <w:rFonts w:ascii="仿宋_GB2312" w:eastAsia="仿宋_GB2312" w:cs="DengXian-Regular"/>
          <w:sz w:val="32"/>
          <w:szCs w:val="32"/>
        </w:rPr>
        <w:t>审判庭（</w:t>
      </w:r>
      <w:r>
        <w:rPr>
          <w:rFonts w:ascii="仿宋_GB2312" w:eastAsia="仿宋_GB2312" w:cs="DengXian-Regular"/>
          <w:sz w:val="32"/>
          <w:szCs w:val="32"/>
        </w:rPr>
        <w:t>综合</w:t>
      </w:r>
      <w:r>
        <w:rPr>
          <w:rFonts w:ascii="仿宋_GB2312" w:eastAsia="仿宋_GB2312" w:cs="DengXian-Regular" w:hint="eastAsia"/>
          <w:sz w:val="32"/>
          <w:szCs w:val="32"/>
        </w:rPr>
        <w:t>审判</w:t>
      </w:r>
      <w:r>
        <w:rPr>
          <w:rFonts w:ascii="仿宋_GB2312" w:eastAsia="仿宋_GB2312" w:cs="DengXian-Regular"/>
          <w:sz w:val="32"/>
          <w:szCs w:val="32"/>
        </w:rPr>
        <w:t>庭）</w:t>
      </w:r>
      <w:r>
        <w:rPr>
          <w:rFonts w:ascii="仿宋_GB2312" w:eastAsia="仿宋_GB2312" w:cs="DengXian-Regular" w:hint="eastAsia"/>
          <w:sz w:val="32"/>
          <w:szCs w:val="32"/>
        </w:rPr>
        <w:t>、</w:t>
      </w:r>
      <w:r>
        <w:rPr>
          <w:rFonts w:ascii="仿宋_GB2312" w:eastAsia="仿宋_GB2312" w:cs="DengXian-Regular"/>
          <w:sz w:val="32"/>
          <w:szCs w:val="32"/>
        </w:rPr>
        <w:t>立案庭（诉讼服务中心）、执行局、</w:t>
      </w:r>
      <w:r>
        <w:rPr>
          <w:rFonts w:ascii="仿宋_GB2312" w:eastAsia="仿宋_GB2312" w:cs="DengXian-Regular" w:hint="eastAsia"/>
          <w:sz w:val="32"/>
          <w:szCs w:val="32"/>
        </w:rPr>
        <w:t>司法警察</w:t>
      </w:r>
      <w:r>
        <w:rPr>
          <w:rFonts w:ascii="仿宋_GB2312" w:eastAsia="仿宋_GB2312" w:cs="DengXian-Regular"/>
          <w:sz w:val="32"/>
          <w:szCs w:val="32"/>
        </w:rPr>
        <w:t>大队。</w:t>
      </w:r>
      <w:r>
        <w:rPr>
          <w:rFonts w:ascii="仿宋_GB2312" w:eastAsia="仿宋_GB2312" w:cs="DengXian-Regular" w:hint="eastAsia"/>
          <w:sz w:val="32"/>
          <w:szCs w:val="32"/>
        </w:rPr>
        <w:t>主要职责</w:t>
      </w:r>
      <w:r>
        <w:rPr>
          <w:rFonts w:ascii="仿宋" w:eastAsia="仿宋" w:hAnsi="仿宋" w:hint="eastAsia"/>
          <w:sz w:val="32"/>
          <w:szCs w:val="32"/>
        </w:rPr>
        <w:t>是：</w:t>
      </w:r>
    </w:p>
    <w:p w:rsidR="00D36435" w:rsidRDefault="00C05A13">
      <w:pPr>
        <w:spacing w:line="500" w:lineRule="exact"/>
        <w:ind w:firstLineChars="200" w:firstLine="640"/>
        <w:rPr>
          <w:rFonts w:ascii="仿宋_GB2312" w:eastAsia="仿宋_GB2312" w:cs="DengXian-Regular"/>
          <w:sz w:val="32"/>
          <w:szCs w:val="32"/>
        </w:rPr>
      </w:pPr>
      <w:r>
        <w:rPr>
          <w:rFonts w:ascii="仿宋_GB2312" w:eastAsia="仿宋_GB2312" w:cs="DengXian-Regular"/>
          <w:sz w:val="32"/>
          <w:szCs w:val="32"/>
        </w:rPr>
        <w:t>1</w:t>
      </w:r>
      <w:r>
        <w:rPr>
          <w:rFonts w:ascii="仿宋_GB2312" w:eastAsia="仿宋_GB2312" w:cs="DengXian-Regular" w:hint="eastAsia"/>
          <w:sz w:val="32"/>
          <w:szCs w:val="32"/>
        </w:rPr>
        <w:t>、</w:t>
      </w:r>
      <w:proofErr w:type="gramStart"/>
      <w:r>
        <w:rPr>
          <w:rFonts w:ascii="仿宋_GB2312" w:eastAsia="仿宋_GB2312" w:cs="DengXian-Regular" w:hint="eastAsia"/>
          <w:sz w:val="32"/>
          <w:szCs w:val="32"/>
        </w:rPr>
        <w:t>深切贯彻习</w:t>
      </w:r>
      <w:proofErr w:type="gramEnd"/>
      <w:r>
        <w:rPr>
          <w:rFonts w:ascii="仿宋_GB2312" w:eastAsia="仿宋_GB2312" w:cs="DengXian-Regular" w:hint="eastAsia"/>
          <w:sz w:val="32"/>
          <w:szCs w:val="32"/>
        </w:rPr>
        <w:t>近平新时代中国特色社会主义思想，</w:t>
      </w:r>
      <w:proofErr w:type="gramStart"/>
      <w:r>
        <w:rPr>
          <w:rFonts w:ascii="仿宋_GB2312" w:eastAsia="仿宋_GB2312" w:cs="DengXian-Regular" w:hint="eastAsia"/>
          <w:sz w:val="32"/>
          <w:szCs w:val="32"/>
        </w:rPr>
        <w:t>深切贯彻</w:t>
      </w:r>
      <w:proofErr w:type="gramEnd"/>
      <w:r>
        <w:rPr>
          <w:rFonts w:ascii="仿宋_GB2312" w:eastAsia="仿宋_GB2312" w:cs="DengXian-Regular" w:hint="eastAsia"/>
          <w:sz w:val="32"/>
          <w:szCs w:val="32"/>
        </w:rPr>
        <w:t>党的路线方针政策和决策部署，坚持党对法院工作的绝对领导，坚决维护习近平总书记的核心地位，坚决维护党中央权威和集中统一领导。</w:t>
      </w:r>
    </w:p>
    <w:p w:rsidR="00D36435" w:rsidRDefault="00C05A13">
      <w:pPr>
        <w:spacing w:line="500" w:lineRule="exact"/>
        <w:ind w:firstLineChars="200" w:firstLine="640"/>
        <w:rPr>
          <w:rFonts w:ascii="仿宋_GB2312" w:eastAsia="仿宋_GB2312" w:cs="DengXian-Regular"/>
          <w:sz w:val="32"/>
          <w:szCs w:val="32"/>
        </w:rPr>
      </w:pPr>
      <w:r>
        <w:rPr>
          <w:rFonts w:ascii="仿宋_GB2312" w:eastAsia="仿宋_GB2312" w:cs="DengXian-Regular"/>
          <w:sz w:val="32"/>
          <w:szCs w:val="32"/>
        </w:rPr>
        <w:t>2</w:t>
      </w:r>
      <w:r>
        <w:rPr>
          <w:rFonts w:ascii="仿宋_GB2312" w:eastAsia="仿宋_GB2312" w:cs="DengXian-Regular" w:hint="eastAsia"/>
          <w:sz w:val="32"/>
          <w:szCs w:val="32"/>
        </w:rPr>
        <w:t>、依法审判法律规定由徐水区人民法院管辖的刑事、民事、行政等第一审案件。</w:t>
      </w:r>
    </w:p>
    <w:p w:rsidR="00D36435" w:rsidRDefault="00C05A13">
      <w:pPr>
        <w:spacing w:line="500" w:lineRule="exact"/>
        <w:ind w:firstLineChars="200" w:firstLine="640"/>
        <w:rPr>
          <w:rFonts w:ascii="仿宋_GB2312" w:eastAsia="仿宋_GB2312" w:cs="DengXian-Regular"/>
          <w:sz w:val="32"/>
          <w:szCs w:val="32"/>
        </w:rPr>
      </w:pPr>
      <w:r>
        <w:rPr>
          <w:rFonts w:ascii="仿宋_GB2312" w:eastAsia="仿宋_GB2312" w:cs="DengXian-Regular"/>
          <w:sz w:val="32"/>
          <w:szCs w:val="32"/>
        </w:rPr>
        <w:t>3</w:t>
      </w:r>
      <w:r>
        <w:rPr>
          <w:rFonts w:ascii="仿宋_GB2312" w:eastAsia="仿宋_GB2312" w:cs="DengXian-Regular" w:hint="eastAsia"/>
          <w:sz w:val="32"/>
          <w:szCs w:val="32"/>
        </w:rPr>
        <w:t>、依法审判上级人民法院指定、同级人民法院移送的刑事、民事、行政等第一审案件。</w:t>
      </w:r>
    </w:p>
    <w:p w:rsidR="00D36435" w:rsidRDefault="00C05A13">
      <w:pPr>
        <w:spacing w:line="500" w:lineRule="exact"/>
        <w:ind w:firstLineChars="200" w:firstLine="640"/>
        <w:rPr>
          <w:rFonts w:ascii="仿宋_GB2312" w:eastAsia="仿宋_GB2312" w:cs="DengXian-Regular"/>
          <w:sz w:val="32"/>
          <w:szCs w:val="32"/>
        </w:rPr>
      </w:pPr>
      <w:r>
        <w:rPr>
          <w:rFonts w:ascii="仿宋_GB2312" w:eastAsia="仿宋_GB2312" w:cs="DengXian-Regular"/>
          <w:sz w:val="32"/>
          <w:szCs w:val="32"/>
        </w:rPr>
        <w:t>4</w:t>
      </w:r>
      <w:r>
        <w:rPr>
          <w:rFonts w:ascii="仿宋_GB2312" w:eastAsia="仿宋_GB2312" w:cs="DengXian-Regular" w:hint="eastAsia"/>
          <w:sz w:val="32"/>
          <w:szCs w:val="32"/>
        </w:rPr>
        <w:t>、审查和受理各类申诉案件，审判各类再审案件，处理来信来访。</w:t>
      </w:r>
    </w:p>
    <w:p w:rsidR="00D36435" w:rsidRDefault="00C05A13">
      <w:pPr>
        <w:spacing w:line="500" w:lineRule="exact"/>
        <w:ind w:firstLineChars="200" w:firstLine="640"/>
        <w:rPr>
          <w:rFonts w:ascii="仿宋" w:eastAsia="仿宋" w:hAnsi="仿宋"/>
          <w:sz w:val="32"/>
          <w:szCs w:val="32"/>
        </w:rPr>
      </w:pPr>
      <w:r>
        <w:rPr>
          <w:rFonts w:ascii="仿宋" w:eastAsia="仿宋" w:hAnsi="仿宋"/>
          <w:sz w:val="32"/>
          <w:szCs w:val="32"/>
        </w:rPr>
        <w:lastRenderedPageBreak/>
        <w:t>5</w:t>
      </w:r>
      <w:r>
        <w:rPr>
          <w:rFonts w:ascii="仿宋" w:eastAsia="仿宋" w:hAnsi="仿宋" w:hint="eastAsia"/>
          <w:sz w:val="32"/>
          <w:szCs w:val="32"/>
        </w:rPr>
        <w:t>、依法办理发生法律效力的民事、行政案件判决和裁定执行事项及刑事案件判决和裁定中关于财产部分的执行事项；办理法律规定由基层人民法院执行的其他法律文书的执行事项。</w:t>
      </w:r>
    </w:p>
    <w:p w:rsidR="00D36435" w:rsidRDefault="00C05A13">
      <w:pPr>
        <w:spacing w:line="500" w:lineRule="exact"/>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、负责审判工作的调查研究，总结审判工作经验。</w:t>
      </w:r>
    </w:p>
    <w:p w:rsidR="00D36435" w:rsidRDefault="00C05A13">
      <w:pPr>
        <w:spacing w:line="500" w:lineRule="exact"/>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、负责干警思想政治教育和业务培训工作；按照权限管理法官和其他工作人员。</w:t>
      </w:r>
    </w:p>
    <w:p w:rsidR="00D36435" w:rsidRDefault="00C05A13">
      <w:pPr>
        <w:spacing w:line="500" w:lineRule="exact"/>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、管理有关经费及物资装备。</w:t>
      </w:r>
    </w:p>
    <w:p w:rsidR="00D36435" w:rsidRDefault="00C05A13">
      <w:pPr>
        <w:spacing w:line="500" w:lineRule="exact"/>
        <w:ind w:firstLineChars="200" w:firstLine="640"/>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、赌注司法技术鉴定、通讯、计算机等技术管理工作。</w:t>
      </w:r>
    </w:p>
    <w:p w:rsidR="00D36435" w:rsidRDefault="00C05A13">
      <w:pPr>
        <w:spacing w:line="500" w:lineRule="exact"/>
        <w:ind w:firstLineChars="200" w:firstLine="640"/>
        <w:rPr>
          <w:rFonts w:ascii="仿宋" w:eastAsia="仿宋" w:hAnsi="仿宋"/>
          <w:sz w:val="32"/>
          <w:szCs w:val="32"/>
        </w:rPr>
      </w:pPr>
      <w:r>
        <w:rPr>
          <w:rFonts w:ascii="仿宋" w:eastAsia="仿宋" w:hAnsi="仿宋"/>
          <w:sz w:val="32"/>
          <w:szCs w:val="32"/>
        </w:rPr>
        <w:t>10</w:t>
      </w:r>
      <w:r>
        <w:rPr>
          <w:rFonts w:ascii="仿宋" w:eastAsia="仿宋" w:hAnsi="仿宋" w:hint="eastAsia"/>
          <w:sz w:val="32"/>
          <w:szCs w:val="32"/>
        </w:rPr>
        <w:t>、负责审判工作中的法制宣传，教育公民忠于祖国，自觉遵守宪法、法律和社会公德。</w:t>
      </w:r>
    </w:p>
    <w:p w:rsidR="00D36435" w:rsidRDefault="00C05A13">
      <w:pPr>
        <w:spacing w:line="500" w:lineRule="exact"/>
        <w:ind w:firstLineChars="200" w:firstLine="640"/>
        <w:rPr>
          <w:rFonts w:ascii="仿宋" w:eastAsia="仿宋" w:hAnsi="仿宋"/>
          <w:sz w:val="32"/>
          <w:szCs w:val="32"/>
        </w:rPr>
      </w:pPr>
      <w:r>
        <w:rPr>
          <w:rFonts w:ascii="仿宋" w:eastAsia="仿宋" w:hAnsi="仿宋"/>
          <w:sz w:val="32"/>
          <w:szCs w:val="32"/>
        </w:rPr>
        <w:t>11</w:t>
      </w:r>
      <w:r>
        <w:rPr>
          <w:rFonts w:ascii="仿宋" w:eastAsia="仿宋" w:hAnsi="仿宋" w:hint="eastAsia"/>
          <w:sz w:val="32"/>
          <w:szCs w:val="32"/>
        </w:rPr>
        <w:t>、完成其他应由徐水区人民法院负责工作。</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w:t>
      </w:r>
      <w:r>
        <w:rPr>
          <w:rFonts w:ascii="仿宋_GB2312" w:eastAsia="仿宋_GB2312" w:cs="DengXian-Regular" w:hint="eastAsia"/>
          <w:sz w:val="32"/>
          <w:szCs w:val="32"/>
        </w:rPr>
        <w:lastRenderedPageBreak/>
        <w:t>强化部门支出责任，提高预算执行效率和财政资金使用效益。</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评价工作经过了前期准备、绩效评价实施方案和指标体系制定、组织</w:t>
      </w:r>
      <w:r>
        <w:rPr>
          <w:rFonts w:ascii="仿宋_GB2312" w:eastAsia="仿宋_GB2312" w:cs="DengXian-Regular" w:hint="eastAsia"/>
          <w:sz w:val="32"/>
          <w:szCs w:val="32"/>
        </w:rPr>
        <w:t>实施、绩效评价报告撰写四个阶段。</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我院</w:t>
      </w:r>
      <w:r>
        <w:rPr>
          <w:rFonts w:ascii="仿宋_GB2312" w:eastAsia="仿宋_GB2312" w:cs="DengXian-Regular" w:hint="eastAsia"/>
          <w:sz w:val="32"/>
          <w:szCs w:val="32"/>
        </w:rPr>
        <w:t>2019</w:t>
      </w:r>
      <w:r>
        <w:rPr>
          <w:rFonts w:ascii="仿宋_GB2312" w:eastAsia="仿宋_GB2312" w:cs="DengXian-Regular" w:hint="eastAsia"/>
          <w:sz w:val="32"/>
          <w:szCs w:val="32"/>
        </w:rPr>
        <w:t>年部门整体支出绩效评价工作。</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区法</w:t>
      </w:r>
      <w:r>
        <w:rPr>
          <w:rFonts w:ascii="仿宋_GB2312" w:eastAsia="仿宋_GB2312" w:cs="DengXian-Regular" w:hint="eastAsia"/>
          <w:sz w:val="32"/>
          <w:szCs w:val="32"/>
        </w:rPr>
        <w:t>院</w:t>
      </w:r>
      <w:r>
        <w:rPr>
          <w:rFonts w:ascii="仿宋_GB2312" w:eastAsia="仿宋_GB2312" w:cs="DengXian-Regular" w:hint="eastAsia"/>
          <w:sz w:val="32"/>
          <w:szCs w:val="32"/>
        </w:rPr>
        <w:t>2019</w:t>
      </w:r>
      <w:r>
        <w:rPr>
          <w:rFonts w:ascii="仿宋_GB2312" w:eastAsia="仿宋_GB2312" w:cs="DengXian-Regular" w:hint="eastAsia"/>
          <w:sz w:val="32"/>
          <w:szCs w:val="32"/>
        </w:rPr>
        <w:t>年部门整体支出绩效评价指标体系共设置</w:t>
      </w:r>
      <w:r>
        <w:rPr>
          <w:rFonts w:ascii="仿宋_GB2312" w:eastAsia="仿宋_GB2312" w:cs="DengXian-Regular"/>
          <w:sz w:val="32"/>
          <w:szCs w:val="32"/>
        </w:rPr>
        <w:t>3</w:t>
      </w:r>
      <w:r>
        <w:rPr>
          <w:rFonts w:ascii="仿宋_GB2312" w:eastAsia="仿宋_GB2312" w:cs="DengXian-Regular" w:hint="eastAsia"/>
          <w:sz w:val="32"/>
          <w:szCs w:val="32"/>
        </w:rPr>
        <w:t>个一级指标、</w:t>
      </w:r>
      <w:r>
        <w:rPr>
          <w:rFonts w:ascii="仿宋_GB2312" w:eastAsia="仿宋_GB2312" w:cs="DengXian-Regular"/>
          <w:sz w:val="32"/>
          <w:szCs w:val="32"/>
        </w:rPr>
        <w:t>5</w:t>
      </w:r>
      <w:r>
        <w:rPr>
          <w:rFonts w:ascii="仿宋_GB2312" w:eastAsia="仿宋_GB2312" w:cs="DengXian-Regular" w:hint="eastAsia"/>
          <w:sz w:val="32"/>
          <w:szCs w:val="32"/>
        </w:rPr>
        <w:t>个二级指标、</w:t>
      </w:r>
      <w:r>
        <w:rPr>
          <w:rFonts w:ascii="仿宋_GB2312" w:eastAsia="仿宋_GB2312" w:cs="DengXian-Regular"/>
          <w:sz w:val="32"/>
          <w:szCs w:val="32"/>
        </w:rPr>
        <w:t>33</w:t>
      </w:r>
      <w:r>
        <w:rPr>
          <w:rFonts w:ascii="仿宋_GB2312" w:eastAsia="仿宋_GB2312" w:cs="DengXian-Regular" w:hint="eastAsia"/>
          <w:sz w:val="32"/>
          <w:szCs w:val="32"/>
        </w:rPr>
        <w:t>个三级指标，从投入、过程、产出、效果四个方面对我院各部门整体支出情况</w:t>
      </w:r>
      <w:r>
        <w:rPr>
          <w:rFonts w:ascii="仿宋_GB2312" w:eastAsia="仿宋_GB2312" w:cs="DengXian-Regular" w:hint="eastAsia"/>
          <w:sz w:val="32"/>
          <w:szCs w:val="32"/>
        </w:rPr>
        <w:t>评分定级。指标体系设定满分为</w:t>
      </w:r>
      <w:r>
        <w:rPr>
          <w:rFonts w:ascii="仿宋_GB2312" w:eastAsia="仿宋_GB2312" w:cs="DengXian-Regular" w:hint="eastAsia"/>
          <w:sz w:val="32"/>
          <w:szCs w:val="32"/>
        </w:rPr>
        <w:t>100</w:t>
      </w:r>
      <w:r>
        <w:rPr>
          <w:rFonts w:ascii="仿宋_GB2312" w:eastAsia="仿宋_GB2312" w:cs="DengXian-Regular" w:hint="eastAsia"/>
          <w:sz w:val="32"/>
          <w:szCs w:val="32"/>
        </w:rPr>
        <w:t>分，绩效评价分值≥</w:t>
      </w:r>
      <w:r>
        <w:rPr>
          <w:rFonts w:ascii="仿宋_GB2312" w:eastAsia="仿宋_GB2312" w:cs="DengXian-Regular" w:hint="eastAsia"/>
          <w:sz w:val="32"/>
          <w:szCs w:val="32"/>
        </w:rPr>
        <w:t>90</w:t>
      </w:r>
      <w:r>
        <w:rPr>
          <w:rFonts w:ascii="仿宋_GB2312" w:eastAsia="仿宋_GB2312" w:cs="DengXian-Regular" w:hint="eastAsia"/>
          <w:sz w:val="32"/>
          <w:szCs w:val="32"/>
        </w:rPr>
        <w:t>为“优”；</w:t>
      </w:r>
      <w:r>
        <w:rPr>
          <w:rFonts w:ascii="仿宋_GB2312" w:eastAsia="仿宋_GB2312" w:cs="DengXian-Regular" w:hint="eastAsia"/>
          <w:sz w:val="32"/>
          <w:szCs w:val="32"/>
        </w:rPr>
        <w:t>80</w:t>
      </w:r>
      <w:r>
        <w:rPr>
          <w:rFonts w:ascii="仿宋_GB2312" w:eastAsia="仿宋_GB2312" w:cs="DengXian-Regular" w:hint="eastAsia"/>
          <w:sz w:val="32"/>
          <w:szCs w:val="32"/>
        </w:rPr>
        <w:t>≤分值＜</w:t>
      </w:r>
      <w:r>
        <w:rPr>
          <w:rFonts w:ascii="仿宋_GB2312" w:eastAsia="仿宋_GB2312" w:cs="DengXian-Regular" w:hint="eastAsia"/>
          <w:sz w:val="32"/>
          <w:szCs w:val="32"/>
        </w:rPr>
        <w:t>90</w:t>
      </w:r>
      <w:r>
        <w:rPr>
          <w:rFonts w:ascii="仿宋_GB2312" w:eastAsia="仿宋_GB2312" w:cs="DengXian-Regular" w:hint="eastAsia"/>
          <w:sz w:val="32"/>
          <w:szCs w:val="32"/>
        </w:rPr>
        <w:t>为“良”；</w:t>
      </w:r>
      <w:r>
        <w:rPr>
          <w:rFonts w:ascii="仿宋_GB2312" w:eastAsia="仿宋_GB2312" w:cs="DengXian-Regular" w:hint="eastAsia"/>
          <w:sz w:val="32"/>
          <w:szCs w:val="32"/>
        </w:rPr>
        <w:t>60</w:t>
      </w:r>
      <w:r>
        <w:rPr>
          <w:rFonts w:ascii="仿宋_GB2312" w:eastAsia="仿宋_GB2312" w:cs="DengXian-Regular" w:hint="eastAsia"/>
          <w:sz w:val="32"/>
          <w:szCs w:val="32"/>
        </w:rPr>
        <w:t>≤分值＜</w:t>
      </w:r>
      <w:r>
        <w:rPr>
          <w:rFonts w:ascii="仿宋_GB2312" w:eastAsia="仿宋_GB2312" w:cs="DengXian-Regular" w:hint="eastAsia"/>
          <w:sz w:val="32"/>
          <w:szCs w:val="32"/>
        </w:rPr>
        <w:t>80</w:t>
      </w:r>
      <w:r>
        <w:rPr>
          <w:rFonts w:ascii="仿宋_GB2312" w:eastAsia="仿宋_GB2312" w:cs="DengXian-Regular" w:hint="eastAsia"/>
          <w:sz w:val="32"/>
          <w:szCs w:val="32"/>
        </w:rPr>
        <w:t>为“合格”；</w:t>
      </w:r>
      <w:r>
        <w:rPr>
          <w:rFonts w:ascii="仿宋_GB2312" w:eastAsia="仿宋_GB2312" w:cs="DengXian-Regular" w:hint="eastAsia"/>
          <w:sz w:val="32"/>
          <w:szCs w:val="32"/>
        </w:rPr>
        <w:t>60</w:t>
      </w:r>
      <w:r>
        <w:rPr>
          <w:rFonts w:ascii="仿宋_GB2312" w:eastAsia="仿宋_GB2312" w:cs="DengXian-Regular" w:hint="eastAsia"/>
          <w:sz w:val="32"/>
          <w:szCs w:val="32"/>
        </w:rPr>
        <w:t>分以下为“差”。</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区法</w:t>
      </w:r>
      <w:r>
        <w:rPr>
          <w:rFonts w:ascii="仿宋_GB2312" w:eastAsia="仿宋_GB2312" w:cs="DengXian-Regular" w:hint="eastAsia"/>
          <w:sz w:val="32"/>
          <w:szCs w:val="32"/>
        </w:rPr>
        <w:t>院</w:t>
      </w:r>
      <w:r>
        <w:rPr>
          <w:rFonts w:ascii="仿宋_GB2312" w:eastAsia="仿宋_GB2312" w:cs="DengXian-Regular" w:hint="eastAsia"/>
          <w:sz w:val="32"/>
          <w:szCs w:val="32"/>
        </w:rPr>
        <w:t>2019</w:t>
      </w:r>
      <w:r>
        <w:rPr>
          <w:rFonts w:ascii="仿宋_GB2312" w:eastAsia="仿宋_GB2312" w:cs="DengXian-Regular" w:hint="eastAsia"/>
          <w:sz w:val="32"/>
          <w:szCs w:val="32"/>
        </w:rPr>
        <w:t>年部门整体支出综合评价得分为</w:t>
      </w:r>
      <w:r>
        <w:rPr>
          <w:rFonts w:ascii="仿宋_GB2312" w:eastAsia="仿宋_GB2312" w:cs="DengXian-Regular" w:hint="eastAsia"/>
          <w:sz w:val="32"/>
          <w:szCs w:val="32"/>
        </w:rPr>
        <w:t>88.73</w:t>
      </w:r>
      <w:r>
        <w:rPr>
          <w:rFonts w:ascii="仿宋_GB2312" w:eastAsia="仿宋_GB2312" w:cs="DengXian-Regular" w:hint="eastAsia"/>
          <w:sz w:val="32"/>
          <w:szCs w:val="32"/>
        </w:rPr>
        <w:t>分，评价等级为“</w:t>
      </w:r>
      <w:r>
        <w:rPr>
          <w:rFonts w:ascii="仿宋_GB2312" w:eastAsia="仿宋_GB2312" w:cs="DengXian-Regular" w:hint="eastAsia"/>
          <w:sz w:val="32"/>
          <w:szCs w:val="32"/>
        </w:rPr>
        <w:t>良</w:t>
      </w:r>
      <w:r>
        <w:rPr>
          <w:rFonts w:ascii="仿宋_GB2312" w:eastAsia="仿宋_GB2312" w:cs="DengXian-Regular" w:hint="eastAsia"/>
          <w:sz w:val="32"/>
          <w:szCs w:val="32"/>
        </w:rPr>
        <w:t>”。</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经评价，我院</w:t>
      </w:r>
      <w:r>
        <w:rPr>
          <w:rFonts w:ascii="仿宋_GB2312" w:eastAsia="仿宋_GB2312" w:cs="DengXian-Regular" w:hint="eastAsia"/>
          <w:sz w:val="32"/>
          <w:szCs w:val="32"/>
        </w:rPr>
        <w:t>2019</w:t>
      </w:r>
      <w:r>
        <w:rPr>
          <w:rFonts w:ascii="仿宋_GB2312" w:eastAsia="仿宋_GB2312" w:cs="DengXian-Regular" w:hint="eastAsia"/>
          <w:sz w:val="32"/>
          <w:szCs w:val="32"/>
        </w:rPr>
        <w:t>年部门预算编制完整性、项目预算细化率、在职人员控制率、收入完成率、财政拨款支出完成率、“三公经费”控制率、资金使用合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性、决算真实</w:t>
      </w:r>
      <w:r>
        <w:rPr>
          <w:rFonts w:ascii="仿宋_GB2312" w:eastAsia="仿宋_GB2312" w:cs="DengXian-Regular" w:hint="eastAsia"/>
          <w:sz w:val="32"/>
          <w:szCs w:val="32"/>
        </w:rPr>
        <w:lastRenderedPageBreak/>
        <w:t>性、管理制度健全性、预决算信息公开、资产管理规范性、绩效自评覆盖率、绩效评价优等率、结转结余率、部门整体效益等指标完成情况较好。</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通过本次绩效评</w:t>
      </w:r>
      <w:r>
        <w:rPr>
          <w:rFonts w:ascii="仿宋_GB2312" w:eastAsia="仿宋_GB2312" w:cs="DengXian-Regular" w:hint="eastAsia"/>
          <w:sz w:val="32"/>
          <w:szCs w:val="32"/>
        </w:rPr>
        <w:t>价工作，发现我院在以下几个方面存在一些不足之处，具体如下：</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绩效指标方面：绩效</w:t>
      </w:r>
      <w:r>
        <w:rPr>
          <w:rFonts w:ascii="仿宋_GB2312" w:eastAsia="仿宋_GB2312" w:cs="DengXian-Regular"/>
          <w:sz w:val="32"/>
          <w:szCs w:val="32"/>
        </w:rPr>
        <w:t>指标制定还需大力结合各部门工作实际情况</w:t>
      </w:r>
      <w:r>
        <w:rPr>
          <w:rFonts w:ascii="仿宋_GB2312" w:eastAsia="仿宋_GB2312" w:cs="DengXian-Regular" w:hint="eastAsia"/>
          <w:sz w:val="32"/>
          <w:szCs w:val="32"/>
        </w:rPr>
        <w:t>开展</w:t>
      </w:r>
      <w:r>
        <w:rPr>
          <w:rFonts w:ascii="仿宋_GB2312" w:eastAsia="仿宋_GB2312" w:cs="DengXian-Regular"/>
          <w:sz w:val="32"/>
          <w:szCs w:val="32"/>
        </w:rPr>
        <w:t>此项</w:t>
      </w:r>
      <w:r>
        <w:rPr>
          <w:rFonts w:ascii="仿宋_GB2312" w:eastAsia="仿宋_GB2312" w:cs="DengXian-Regular" w:hint="eastAsia"/>
          <w:sz w:val="32"/>
          <w:szCs w:val="32"/>
        </w:rPr>
        <w:t>工作</w:t>
      </w:r>
      <w:r>
        <w:rPr>
          <w:rFonts w:ascii="仿宋_GB2312" w:eastAsia="仿宋_GB2312" w:cs="DengXian-Regular"/>
          <w:sz w:val="32"/>
          <w:szCs w:val="32"/>
        </w:rPr>
        <w:t>的</w:t>
      </w:r>
      <w:r>
        <w:rPr>
          <w:rFonts w:ascii="仿宋_GB2312" w:eastAsia="仿宋_GB2312" w:cs="DengXian-Regular" w:hint="eastAsia"/>
          <w:sz w:val="32"/>
          <w:szCs w:val="32"/>
        </w:rPr>
        <w:t>绩效</w:t>
      </w:r>
      <w:r>
        <w:rPr>
          <w:rFonts w:ascii="仿宋_GB2312" w:eastAsia="仿宋_GB2312" w:cs="DengXian-Regular"/>
          <w:sz w:val="32"/>
          <w:szCs w:val="32"/>
        </w:rPr>
        <w:t>目标制定。做到</w:t>
      </w:r>
      <w:r>
        <w:rPr>
          <w:rFonts w:ascii="仿宋_GB2312" w:eastAsia="仿宋_GB2312" w:cs="DengXian-Regular" w:hint="eastAsia"/>
          <w:sz w:val="32"/>
          <w:szCs w:val="32"/>
        </w:rPr>
        <w:t>绩效</w:t>
      </w:r>
      <w:r>
        <w:rPr>
          <w:rFonts w:ascii="仿宋_GB2312" w:eastAsia="仿宋_GB2312" w:cs="DengXian-Regular"/>
          <w:sz w:val="32"/>
          <w:szCs w:val="32"/>
        </w:rPr>
        <w:t>指标的可行性更加贴近一线办案实际。</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2</w:t>
      </w:r>
      <w:r>
        <w:rPr>
          <w:rFonts w:ascii="仿宋_GB2312" w:eastAsia="仿宋_GB2312" w:cs="DengXian-Regular" w:hint="eastAsia"/>
          <w:sz w:val="32"/>
          <w:szCs w:val="32"/>
        </w:rPr>
        <w:t>.</w:t>
      </w:r>
      <w:r>
        <w:rPr>
          <w:rFonts w:ascii="仿宋_GB2312" w:eastAsia="仿宋_GB2312" w:cs="DengXian-Regular" w:hint="eastAsia"/>
          <w:sz w:val="32"/>
          <w:szCs w:val="32"/>
        </w:rPr>
        <w:t>项目资金使用率：</w:t>
      </w:r>
      <w:r>
        <w:rPr>
          <w:rFonts w:ascii="仿宋_GB2312" w:eastAsia="仿宋_GB2312" w:cs="DengXian-Regular"/>
          <w:sz w:val="32"/>
          <w:szCs w:val="32"/>
        </w:rPr>
        <w:t>在资金使用情况上严格按照有</w:t>
      </w:r>
      <w:r>
        <w:rPr>
          <w:rFonts w:ascii="仿宋_GB2312" w:eastAsia="仿宋_GB2312" w:cs="DengXian-Regular" w:hint="eastAsia"/>
          <w:sz w:val="32"/>
          <w:szCs w:val="32"/>
        </w:rPr>
        <w:t>收</w:t>
      </w:r>
      <w:r>
        <w:rPr>
          <w:rFonts w:ascii="仿宋_GB2312" w:eastAsia="仿宋_GB2312" w:cs="DengXian-Regular"/>
          <w:sz w:val="32"/>
          <w:szCs w:val="32"/>
        </w:rPr>
        <w:t>有支、专款专用，加大力度开展办案和执行工作，确保资金充分使用。</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sz w:val="32"/>
          <w:szCs w:val="32"/>
        </w:rPr>
        <w:t>完善基础信息管理</w:t>
      </w:r>
      <w:r>
        <w:rPr>
          <w:rFonts w:ascii="仿宋_GB2312" w:eastAsia="仿宋_GB2312" w:cs="DengXian-Regular" w:hint="eastAsia"/>
          <w:sz w:val="32"/>
          <w:szCs w:val="32"/>
        </w:rPr>
        <w:t>：资料的</w:t>
      </w:r>
      <w:r>
        <w:rPr>
          <w:rFonts w:ascii="仿宋_GB2312" w:eastAsia="仿宋_GB2312" w:cs="DengXian-Regular"/>
          <w:sz w:val="32"/>
          <w:szCs w:val="32"/>
        </w:rPr>
        <w:t>完整性还有待整理</w:t>
      </w:r>
      <w:r>
        <w:rPr>
          <w:rFonts w:ascii="仿宋_GB2312" w:eastAsia="仿宋_GB2312" w:cs="DengXian-Regular" w:hint="eastAsia"/>
          <w:sz w:val="32"/>
          <w:szCs w:val="32"/>
        </w:rPr>
        <w:t>，</w:t>
      </w:r>
      <w:r>
        <w:rPr>
          <w:rFonts w:ascii="仿宋_GB2312" w:eastAsia="仿宋_GB2312" w:cs="DengXian-Regular"/>
          <w:sz w:val="32"/>
          <w:szCs w:val="32"/>
        </w:rPr>
        <w:t>归纳。</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针对此次绩效评价过程中发现的问题，我们建议：</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增强绩效指标设置的明确性</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工作活动、预算项目绩效指标应当清晰、可评价、可衡量。建议在设置职责活动绩效指标时，将绩效目标细化分解为具体的工作任务数，从而使绩效目标可量化，便于对目标实现情况进行考核。</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提高预算编制质量</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部门预算编制工作要全面反映和体现部门职责，根据具体情况及时调整预算的编制，缩小预算与决算差额，减少中期预算追加，提高预算编制质量，发挥预算约束作用。</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hint="eastAsia"/>
          <w:sz w:val="32"/>
          <w:szCs w:val="32"/>
        </w:rPr>
        <w:t>强化政府采购执行</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建议严格按照《中华人民共和国政府采购法》及河北省</w:t>
      </w:r>
      <w:r>
        <w:rPr>
          <w:rFonts w:ascii="仿宋_GB2312" w:eastAsia="仿宋_GB2312" w:cs="DengXian-Regular" w:hint="eastAsia"/>
          <w:sz w:val="32"/>
          <w:szCs w:val="32"/>
        </w:rPr>
        <w:t>2017</w:t>
      </w:r>
      <w:r>
        <w:rPr>
          <w:rFonts w:ascii="仿宋_GB2312" w:eastAsia="仿宋_GB2312" w:cs="DengXian-Regular" w:hint="eastAsia"/>
          <w:sz w:val="32"/>
          <w:szCs w:val="32"/>
        </w:rPr>
        <w:t>年《政府采购集中采购目录和限额标准》的相关规定，执行政府采购，加快预算执行进度，提高政府采购效率。</w:t>
      </w:r>
      <w:bookmarkStart w:id="1" w:name="_Toc4346"/>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w:t>
      </w:r>
      <w:r>
        <w:rPr>
          <w:rFonts w:ascii="仿宋_GB2312" w:eastAsia="仿宋_GB2312" w:cs="DengXian-Regular" w:hint="eastAsia"/>
          <w:sz w:val="32"/>
          <w:szCs w:val="32"/>
        </w:rPr>
        <w:t>提高项目资金使用率</w:t>
      </w:r>
    </w:p>
    <w:p w:rsidR="00D36435" w:rsidRDefault="00C05A13">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建议</w:t>
      </w:r>
      <w:r>
        <w:rPr>
          <w:rFonts w:ascii="仿宋_GB2312" w:eastAsia="仿宋_GB2312" w:hAnsiTheme="minorEastAsia" w:cs="Times New Roman" w:hint="eastAsia"/>
          <w:sz w:val="32"/>
          <w:szCs w:val="32"/>
          <w:u w:color="000000"/>
        </w:rPr>
        <w:t>区法</w:t>
      </w:r>
      <w:r>
        <w:rPr>
          <w:rFonts w:ascii="仿宋_GB2312" w:eastAsia="仿宋_GB2312" w:hAnsiTheme="minorEastAsia" w:cs="Times New Roman" w:hint="eastAsia"/>
          <w:sz w:val="32"/>
          <w:szCs w:val="32"/>
          <w:u w:color="000000"/>
        </w:rPr>
        <w:t>院各</w:t>
      </w:r>
      <w:r>
        <w:rPr>
          <w:rFonts w:ascii="仿宋_GB2312" w:eastAsia="仿宋_GB2312" w:hAnsiTheme="minorEastAsia" w:cs="Times New Roman"/>
          <w:sz w:val="32"/>
          <w:szCs w:val="32"/>
          <w:u w:color="000000"/>
        </w:rPr>
        <w:t>部门</w:t>
      </w:r>
      <w:r>
        <w:rPr>
          <w:rFonts w:ascii="仿宋_GB2312" w:eastAsia="仿宋_GB2312" w:hAnsiTheme="minorEastAsia" w:cs="Times New Roman" w:hint="eastAsia"/>
          <w:sz w:val="32"/>
          <w:szCs w:val="32"/>
          <w:u w:color="000000"/>
        </w:rPr>
        <w:t>对项目资金进行梳理，督促项目进度和资金拨付进度，应拨付的资金及时拨付，不具备条件的资金及时收回，同时，对于按规定可以结转至下年的中央及省级项目资金，在下年的项目安排时优先考虑。</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w:t>
      </w:r>
      <w:r>
        <w:rPr>
          <w:rFonts w:ascii="仿宋_GB2312" w:eastAsia="仿宋_GB2312" w:cs="DengXian-Regular"/>
          <w:sz w:val="32"/>
          <w:szCs w:val="32"/>
        </w:rPr>
        <w:t>.</w:t>
      </w:r>
      <w:r>
        <w:rPr>
          <w:rFonts w:ascii="仿宋_GB2312" w:eastAsia="仿宋_GB2312" w:cs="DengXian-Regular"/>
          <w:sz w:val="32"/>
          <w:szCs w:val="32"/>
        </w:rPr>
        <w:t>完善基础信息管理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w:t>
      </w:r>
      <w:proofErr w:type="gramStart"/>
      <w:r>
        <w:rPr>
          <w:rFonts w:ascii="仿宋_GB2312" w:eastAsia="仿宋_GB2312" w:cs="DengXian-Regular"/>
          <w:sz w:val="32"/>
          <w:szCs w:val="32"/>
        </w:rPr>
        <w:t>可</w:t>
      </w:r>
      <w:proofErr w:type="gramEnd"/>
      <w:r>
        <w:rPr>
          <w:rFonts w:ascii="仿宋_GB2312" w:eastAsia="仿宋_GB2312" w:cs="DengXian-Regular"/>
          <w:sz w:val="32"/>
          <w:szCs w:val="32"/>
        </w:rPr>
        <w:t>查阅性。</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w:t>
      </w:r>
      <w:r>
        <w:rPr>
          <w:rFonts w:ascii="仿宋_GB2312" w:eastAsia="仿宋_GB2312" w:cs="DengXian-Regular" w:hint="eastAsia"/>
          <w:sz w:val="32"/>
          <w:szCs w:val="32"/>
        </w:rPr>
        <w:t>预算安排建议</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项目资金方面：</w:t>
      </w:r>
      <w:r>
        <w:rPr>
          <w:rFonts w:ascii="仿宋_GB2312" w:eastAsia="仿宋_GB2312" w:cs="DengXian-Regular"/>
          <w:sz w:val="32"/>
          <w:szCs w:val="32"/>
        </w:rPr>
        <w:t>2018</w:t>
      </w:r>
      <w:r>
        <w:rPr>
          <w:rFonts w:ascii="仿宋_GB2312" w:eastAsia="仿宋_GB2312" w:cs="DengXian-Regular"/>
          <w:sz w:val="32"/>
          <w:szCs w:val="32"/>
        </w:rPr>
        <w:t>年项目支出资金</w:t>
      </w:r>
      <w:r>
        <w:rPr>
          <w:rFonts w:ascii="仿宋_GB2312" w:eastAsia="仿宋_GB2312" w:cs="DengXian-Regular" w:hint="eastAsia"/>
          <w:sz w:val="32"/>
          <w:szCs w:val="32"/>
        </w:rPr>
        <w:t>上级</w:t>
      </w:r>
      <w:r>
        <w:rPr>
          <w:rFonts w:ascii="仿宋_GB2312" w:eastAsia="仿宋_GB2312" w:cs="DengXian-Regular"/>
          <w:sz w:val="32"/>
          <w:szCs w:val="32"/>
        </w:rPr>
        <w:t>专款使用率低，</w:t>
      </w:r>
      <w:r>
        <w:rPr>
          <w:rFonts w:ascii="仿宋_GB2312" w:eastAsia="仿宋_GB2312" w:cs="DengXian-Regular" w:hint="eastAsia"/>
          <w:sz w:val="32"/>
          <w:szCs w:val="32"/>
        </w:rPr>
        <w:t>针对</w:t>
      </w:r>
      <w:r>
        <w:rPr>
          <w:rFonts w:ascii="仿宋_GB2312" w:eastAsia="仿宋_GB2312" w:cs="DengXian-Regular"/>
          <w:sz w:val="32"/>
          <w:szCs w:val="32"/>
        </w:rPr>
        <w:t>部分未实施项目资金结转至下一年度</w:t>
      </w:r>
      <w:r>
        <w:rPr>
          <w:rFonts w:ascii="仿宋_GB2312" w:eastAsia="仿宋_GB2312" w:cs="DengXian-Regular" w:hint="eastAsia"/>
          <w:sz w:val="32"/>
          <w:szCs w:val="32"/>
        </w:rPr>
        <w:t>的，建议</w:t>
      </w:r>
      <w:r>
        <w:rPr>
          <w:rFonts w:ascii="仿宋_GB2312" w:eastAsia="仿宋_GB2312" w:cs="DengXian-Regular"/>
          <w:sz w:val="32"/>
          <w:szCs w:val="32"/>
        </w:rPr>
        <w:t>2020</w:t>
      </w:r>
      <w:r>
        <w:rPr>
          <w:rFonts w:ascii="仿宋_GB2312" w:eastAsia="仿宋_GB2312" w:cs="DengXian-Regular"/>
          <w:sz w:val="32"/>
          <w:szCs w:val="32"/>
        </w:rPr>
        <w:t>年预算不增加</w:t>
      </w:r>
      <w:r>
        <w:rPr>
          <w:rFonts w:ascii="仿宋_GB2312" w:eastAsia="仿宋_GB2312" w:cs="DengXian-Regular" w:hint="eastAsia"/>
          <w:sz w:val="32"/>
          <w:szCs w:val="32"/>
        </w:rPr>
        <w:t>该部分</w:t>
      </w:r>
      <w:r>
        <w:rPr>
          <w:rFonts w:ascii="仿宋_GB2312" w:eastAsia="仿宋_GB2312" w:cs="DengXian-Regular"/>
          <w:sz w:val="32"/>
          <w:szCs w:val="32"/>
        </w:rPr>
        <w:t>项目资金预算</w:t>
      </w:r>
      <w:r>
        <w:rPr>
          <w:rFonts w:ascii="仿宋_GB2312" w:eastAsia="仿宋_GB2312" w:cs="DengXian-Regular" w:hint="eastAsia"/>
          <w:sz w:val="32"/>
          <w:szCs w:val="32"/>
        </w:rPr>
        <w:t>；本级</w:t>
      </w:r>
      <w:r>
        <w:rPr>
          <w:rFonts w:ascii="仿宋_GB2312" w:eastAsia="仿宋_GB2312" w:cs="DengXian-Regular"/>
          <w:sz w:val="32"/>
          <w:szCs w:val="32"/>
        </w:rPr>
        <w:t>项目资金不足，建议需要时根据实际情况予以</w:t>
      </w:r>
      <w:r>
        <w:rPr>
          <w:rFonts w:ascii="仿宋_GB2312" w:eastAsia="仿宋_GB2312" w:cs="DengXian-Regular" w:hint="eastAsia"/>
          <w:sz w:val="32"/>
          <w:szCs w:val="32"/>
        </w:rPr>
        <w:t>增加</w:t>
      </w:r>
      <w:r>
        <w:rPr>
          <w:rFonts w:ascii="仿宋_GB2312" w:eastAsia="仿宋_GB2312" w:cs="DengXian-Regular"/>
          <w:sz w:val="32"/>
          <w:szCs w:val="32"/>
        </w:rPr>
        <w:t>。</w:t>
      </w:r>
    </w:p>
    <w:p w:rsidR="00D36435" w:rsidRDefault="00C05A13">
      <w:pPr>
        <w:pStyle w:val="2"/>
        <w:spacing w:line="540" w:lineRule="exact"/>
        <w:jc w:val="center"/>
        <w:rPr>
          <w:rFonts w:ascii="黑体" w:hAnsi="黑体"/>
          <w:b w:val="0"/>
        </w:rPr>
      </w:pPr>
      <w:r>
        <w:rPr>
          <w:rFonts w:ascii="黑体" w:hAnsi="黑体" w:hint="eastAsia"/>
          <w:b w:val="0"/>
        </w:rPr>
        <w:lastRenderedPageBreak/>
        <w:t>第二部分</w:t>
      </w:r>
      <w:r>
        <w:rPr>
          <w:rFonts w:ascii="黑体" w:hAnsi="黑体" w:hint="eastAsia"/>
          <w:b w:val="0"/>
        </w:rPr>
        <w:t xml:space="preserve">   </w:t>
      </w:r>
      <w:r>
        <w:rPr>
          <w:rFonts w:ascii="黑体" w:hAnsi="黑体" w:hint="eastAsia"/>
          <w:b w:val="0"/>
        </w:rPr>
        <w:t>绩效评价报告</w:t>
      </w:r>
      <w:bookmarkEnd w:id="1"/>
    </w:p>
    <w:p w:rsidR="00D36435" w:rsidRDefault="00C05A13">
      <w:pPr>
        <w:pStyle w:val="2"/>
        <w:spacing w:before="0" w:after="0" w:line="360" w:lineRule="auto"/>
        <w:ind w:firstLineChars="200" w:firstLine="643"/>
        <w:rPr>
          <w:rFonts w:ascii="楷体" w:eastAsia="楷体" w:hAnsi="楷体" w:cs="楷体"/>
        </w:rPr>
      </w:pPr>
      <w:bookmarkStart w:id="2" w:name="_Toc427"/>
      <w:bookmarkStart w:id="3" w:name="_Toc492652763"/>
      <w:r>
        <w:rPr>
          <w:rFonts w:ascii="楷体" w:eastAsia="楷体" w:hAnsi="楷体" w:cs="楷体" w:hint="eastAsia"/>
        </w:rPr>
        <w:t>一、保定市徐水区人民法院基本情况</w:t>
      </w:r>
      <w:bookmarkStart w:id="4" w:name="_Toc492652764"/>
      <w:bookmarkEnd w:id="2"/>
      <w:bookmarkEnd w:id="3"/>
    </w:p>
    <w:p w:rsidR="00D36435" w:rsidRDefault="00C05A13">
      <w:pPr>
        <w:pStyle w:val="3"/>
        <w:spacing w:before="0" w:after="0"/>
        <w:ind w:firstLineChars="200" w:firstLine="643"/>
        <w:jc w:val="both"/>
        <w:rPr>
          <w:rFonts w:ascii="仿宋_GB2312" w:hAnsi="Tahoma" w:cs="DengXian-Regular"/>
          <w:sz w:val="32"/>
        </w:rPr>
      </w:pPr>
      <w:bookmarkStart w:id="5" w:name="_Toc11473"/>
      <w:r>
        <w:rPr>
          <w:rFonts w:ascii="仿宋_GB2312" w:hAnsi="Tahoma" w:cs="DengXian-Regular" w:hint="eastAsia"/>
          <w:sz w:val="32"/>
        </w:rPr>
        <w:t>（一）部门职责和工作活动</w:t>
      </w:r>
      <w:bookmarkEnd w:id="4"/>
      <w:bookmarkEnd w:id="5"/>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 w:eastAsia="仿宋" w:hAnsi="仿宋" w:hint="eastAsia"/>
          <w:sz w:val="32"/>
          <w:szCs w:val="32"/>
        </w:rPr>
        <w:t>根据《中华人民共和国宪法》《中华人民共和国人民法院组织法》和中央机构编制委员会办公室、最高人民法院《关于积极推进省以下人民法院内设机构改革工作的通知》（法发</w:t>
      </w:r>
      <w:r>
        <w:rPr>
          <w:rFonts w:ascii="仿宋" w:eastAsia="仿宋" w:hAnsi="仿宋"/>
          <w:sz w:val="32"/>
          <w:szCs w:val="32"/>
        </w:rPr>
        <w:t>{2018}8</w:t>
      </w:r>
      <w:r>
        <w:rPr>
          <w:rFonts w:ascii="仿宋" w:eastAsia="仿宋" w:hAnsi="仿宋" w:hint="eastAsia"/>
          <w:sz w:val="32"/>
          <w:szCs w:val="32"/>
        </w:rPr>
        <w:t>号）</w:t>
      </w:r>
      <w:r>
        <w:rPr>
          <w:rFonts w:ascii="仿宋" w:eastAsia="仿宋" w:hAnsi="仿宋"/>
          <w:sz w:val="32"/>
          <w:szCs w:val="32"/>
        </w:rPr>
        <w:t>,</w:t>
      </w:r>
      <w:r>
        <w:rPr>
          <w:rFonts w:ascii="仿宋_GB2312" w:eastAsia="仿宋_GB2312" w:cs="DengXian-Regular" w:hint="eastAsia"/>
          <w:sz w:val="32"/>
          <w:szCs w:val="32"/>
        </w:rPr>
        <w:t>我院为区政法工作部门，正科级单位，下设</w:t>
      </w:r>
      <w:r>
        <w:rPr>
          <w:rFonts w:ascii="仿宋_GB2312" w:eastAsia="仿宋_GB2312" w:cs="DengXian-Regular"/>
          <w:sz w:val="32"/>
          <w:szCs w:val="32"/>
        </w:rPr>
        <w:t>9</w:t>
      </w:r>
      <w:r>
        <w:rPr>
          <w:rFonts w:ascii="仿宋_GB2312" w:eastAsia="仿宋_GB2312" w:cs="DengXian-Regular" w:hint="eastAsia"/>
          <w:sz w:val="32"/>
          <w:szCs w:val="32"/>
        </w:rPr>
        <w:t>个股室。我院根据绩效预算管理改革的相关要求，按照“部门职责—工作活动绩效目标”的层级设立了绩效预算架构，职责活动包括案件审判管理和执行、司法救助和国家赔偿、法院事务</w:t>
      </w:r>
      <w:proofErr w:type="gramStart"/>
      <w:r>
        <w:rPr>
          <w:rFonts w:ascii="仿宋_GB2312" w:eastAsia="仿宋_GB2312" w:cs="DengXian-Regular" w:hint="eastAsia"/>
          <w:sz w:val="32"/>
          <w:szCs w:val="32"/>
        </w:rPr>
        <w:t>管理共</w:t>
      </w:r>
      <w:proofErr w:type="gramEnd"/>
      <w:r>
        <w:rPr>
          <w:rFonts w:ascii="仿宋_GB2312" w:eastAsia="仿宋_GB2312" w:cs="DengXian-Regular"/>
          <w:sz w:val="32"/>
          <w:szCs w:val="32"/>
        </w:rPr>
        <w:t>3</w:t>
      </w:r>
      <w:r>
        <w:rPr>
          <w:rFonts w:ascii="仿宋_GB2312" w:eastAsia="仿宋_GB2312" w:cs="DengXian-Regular" w:hint="eastAsia"/>
          <w:sz w:val="32"/>
          <w:szCs w:val="32"/>
        </w:rPr>
        <w:t>部分。</w:t>
      </w:r>
      <w:bookmarkStart w:id="6" w:name="_Toc465149499"/>
      <w:bookmarkStart w:id="7" w:name="_Toc492652765"/>
    </w:p>
    <w:p w:rsidR="00D36435" w:rsidRDefault="00C05A13">
      <w:pPr>
        <w:pStyle w:val="3"/>
        <w:spacing w:before="0" w:after="0"/>
        <w:ind w:firstLineChars="200" w:firstLine="643"/>
        <w:jc w:val="both"/>
        <w:rPr>
          <w:rFonts w:ascii="仿宋_GB2312" w:hAnsi="Tahoma" w:cs="DengXian-Regular"/>
          <w:sz w:val="32"/>
        </w:rPr>
      </w:pPr>
      <w:bookmarkStart w:id="8" w:name="_Toc7075"/>
      <w:r>
        <w:rPr>
          <w:rFonts w:ascii="仿宋_GB2312" w:hAnsi="Tahoma" w:cs="DengXian-Regular" w:hint="eastAsia"/>
          <w:sz w:val="32"/>
        </w:rPr>
        <w:t>（二）</w:t>
      </w:r>
      <w:bookmarkEnd w:id="6"/>
      <w:r>
        <w:rPr>
          <w:rFonts w:ascii="仿宋_GB2312" w:hAnsi="Tahoma" w:cs="DengXian-Regular" w:hint="eastAsia"/>
          <w:sz w:val="32"/>
        </w:rPr>
        <w:t>部门年度发展规划总体目标和职责分类绩效目标</w:t>
      </w:r>
      <w:bookmarkEnd w:id="7"/>
      <w:bookmarkEnd w:id="8"/>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w:t>
      </w:r>
      <w:r>
        <w:rPr>
          <w:rFonts w:ascii="仿宋_GB2312" w:eastAsia="仿宋_GB2312" w:cs="DengXian-Regular" w:hint="eastAsia"/>
          <w:sz w:val="32"/>
          <w:szCs w:val="32"/>
        </w:rPr>
        <w:t>2019</w:t>
      </w:r>
      <w:r>
        <w:rPr>
          <w:rFonts w:ascii="仿宋_GB2312" w:eastAsia="仿宋_GB2312" w:cs="DengXian-Regular" w:hint="eastAsia"/>
          <w:sz w:val="32"/>
          <w:szCs w:val="32"/>
        </w:rPr>
        <w:t>年绩效预算编制要求，</w:t>
      </w:r>
      <w:r>
        <w:rPr>
          <w:rFonts w:ascii="仿宋_GB2312" w:eastAsia="仿宋_GB2312" w:cs="DengXian-Regular" w:hint="eastAsia"/>
          <w:sz w:val="32"/>
          <w:szCs w:val="32"/>
        </w:rPr>
        <w:t>区法</w:t>
      </w:r>
      <w:r>
        <w:rPr>
          <w:rFonts w:ascii="仿宋_GB2312" w:eastAsia="仿宋_GB2312" w:cs="DengXian-Regular" w:hint="eastAsia"/>
          <w:sz w:val="32"/>
          <w:szCs w:val="32"/>
        </w:rPr>
        <w:t>院设置的年度发展规划总体目标为：</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 w:eastAsia="仿宋" w:hAnsi="仿宋" w:hint="eastAsia"/>
          <w:sz w:val="32"/>
          <w:szCs w:val="32"/>
        </w:rPr>
        <w:t>以习近平新时代中国特色社会主义思想为指导，深入学习贯彻党的十九届四中全会和省委九届九次全会精神，紧紧围绕</w:t>
      </w:r>
      <w:r>
        <w:rPr>
          <w:rFonts w:ascii="仿宋" w:eastAsia="仿宋" w:hAnsi="仿宋"/>
          <w:sz w:val="32"/>
          <w:szCs w:val="32"/>
        </w:rPr>
        <w:t>“</w:t>
      </w:r>
      <w:r>
        <w:rPr>
          <w:rFonts w:ascii="仿宋" w:eastAsia="仿宋" w:hAnsi="仿宋" w:hint="eastAsia"/>
          <w:sz w:val="32"/>
          <w:szCs w:val="32"/>
        </w:rPr>
        <w:t>努力让人民群众在每一个司法案件中感受到公平正义</w:t>
      </w:r>
      <w:r>
        <w:rPr>
          <w:rFonts w:ascii="仿宋" w:eastAsia="仿宋" w:hAnsi="仿宋"/>
          <w:sz w:val="32"/>
          <w:szCs w:val="32"/>
        </w:rPr>
        <w:t>”</w:t>
      </w:r>
      <w:r>
        <w:rPr>
          <w:rFonts w:ascii="仿宋" w:eastAsia="仿宋" w:hAnsi="仿宋" w:hint="eastAsia"/>
          <w:sz w:val="32"/>
          <w:szCs w:val="32"/>
        </w:rPr>
        <w:t>的目标，充分发挥人民法院在国家治理体系和治理能力现代化中的</w:t>
      </w:r>
      <w:r>
        <w:rPr>
          <w:rFonts w:ascii="仿宋" w:eastAsia="仿宋" w:hAnsi="仿宋" w:hint="eastAsia"/>
          <w:sz w:val="32"/>
          <w:szCs w:val="32"/>
        </w:rPr>
        <w:t>职能作用，在狠抓执法办案上有新作为，在维护国家政治安全和社会稳定上有新作为，在依法服务保障大局上有新作为，在加强民生司法保障上有新作为，</w:t>
      </w:r>
      <w:r>
        <w:rPr>
          <w:rFonts w:ascii="仿宋" w:eastAsia="仿宋" w:hAnsi="仿宋" w:hint="eastAsia"/>
          <w:sz w:val="32"/>
          <w:szCs w:val="32"/>
        </w:rPr>
        <w:lastRenderedPageBreak/>
        <w:t>在司法改革和智慧法院建设上有新作为，在加强法院队伍建设上有新作为，重点在深入推进扫黑除恶专项斗争、产权司法保护、</w:t>
      </w:r>
      <w:proofErr w:type="gramStart"/>
      <w:r>
        <w:rPr>
          <w:rFonts w:ascii="仿宋" w:eastAsia="仿宋" w:hAnsi="仿宋" w:hint="eastAsia"/>
          <w:sz w:val="32"/>
          <w:szCs w:val="32"/>
        </w:rPr>
        <w:t>一</w:t>
      </w:r>
      <w:proofErr w:type="gramEnd"/>
      <w:r>
        <w:rPr>
          <w:rFonts w:ascii="仿宋" w:eastAsia="仿宋" w:hAnsi="仿宋" w:hint="eastAsia"/>
          <w:sz w:val="32"/>
          <w:szCs w:val="32"/>
        </w:rPr>
        <w:t>乡</w:t>
      </w:r>
      <w:proofErr w:type="gramStart"/>
      <w:r>
        <w:rPr>
          <w:rFonts w:ascii="仿宋" w:eastAsia="仿宋" w:hAnsi="仿宋" w:hint="eastAsia"/>
          <w:sz w:val="32"/>
          <w:szCs w:val="32"/>
        </w:rPr>
        <w:t>一</w:t>
      </w:r>
      <w:proofErr w:type="gramEnd"/>
      <w:r>
        <w:rPr>
          <w:rFonts w:ascii="仿宋" w:eastAsia="仿宋" w:hAnsi="仿宋" w:hint="eastAsia"/>
          <w:sz w:val="32"/>
          <w:szCs w:val="32"/>
        </w:rPr>
        <w:t>法庭建设、执行长效机制建设工作上更加有力，为新时代建设、经济发展提供坚强有力的司法服务和保障。</w:t>
      </w:r>
      <w:r>
        <w:rPr>
          <w:rFonts w:ascii="仿宋_GB2312" w:eastAsia="仿宋_GB2312" w:cs="DengXian-Regular" w:hint="eastAsia"/>
          <w:sz w:val="32"/>
          <w:szCs w:val="32"/>
        </w:rPr>
        <w:t>职责分类绩效目标为：</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开展案件审判管理和执行工作。依法审判法律规定由区级人民法院管辖的刑事、民事、行政等一审案件，依法办理发生法律效力判决、其他法律文书的执行，</w:t>
      </w:r>
      <w:r>
        <w:rPr>
          <w:rFonts w:ascii="仿宋_GB2312" w:eastAsia="仿宋_GB2312" w:cs="DengXian-Regular" w:hint="eastAsia"/>
          <w:sz w:val="32"/>
          <w:szCs w:val="32"/>
        </w:rPr>
        <w:t>做好审判管理工作。妥善审理经济转型过程中引发的各类矛盾纠纷，依法维护国家安全和社会稳定，严惩各类严重刑事犯罪，积极推进平安徐水建设，营造良好的法治环境。</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开展司法救助和国家赔偿工作。完成涉法</w:t>
      </w:r>
      <w:proofErr w:type="gramStart"/>
      <w:r>
        <w:rPr>
          <w:rFonts w:ascii="仿宋_GB2312" w:eastAsia="仿宋_GB2312" w:cs="DengXian-Regular" w:hint="eastAsia"/>
          <w:sz w:val="32"/>
          <w:szCs w:val="32"/>
        </w:rPr>
        <w:t>涉诉类案件</w:t>
      </w:r>
      <w:proofErr w:type="gramEnd"/>
      <w:r>
        <w:rPr>
          <w:rFonts w:ascii="仿宋_GB2312" w:eastAsia="仿宋_GB2312" w:cs="DengXian-Regular" w:hint="eastAsia"/>
          <w:sz w:val="32"/>
          <w:szCs w:val="32"/>
        </w:rPr>
        <w:t>的息诉罢访工作，依法办理国家赔偿案件。改革涉诉信访工作，推动涉诉信访问题在法治轨道内解决；落实司法为民措施，保护被侵权人合法利益，促进国家机关依法行使职权。</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hint="eastAsia"/>
          <w:sz w:val="32"/>
          <w:szCs w:val="32"/>
        </w:rPr>
        <w:t>开展法院事务管理工作。</w:t>
      </w:r>
      <w:bookmarkStart w:id="9" w:name="_Toc1678"/>
      <w:bookmarkStart w:id="10" w:name="_Toc465149500"/>
      <w:bookmarkStart w:id="11" w:name="_Toc492652766"/>
      <w:r>
        <w:rPr>
          <w:rFonts w:ascii="仿宋_GB2312" w:eastAsia="仿宋_GB2312" w:cs="DengXian-Regular" w:hint="eastAsia"/>
          <w:sz w:val="32"/>
          <w:szCs w:val="32"/>
        </w:rPr>
        <w:t>系统综合业务管理和综合事务管理。提高队伍素质和执法能力，高质高效完成各项工作。</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（三）部门预算收入及决算收入</w:t>
      </w:r>
      <w:bookmarkEnd w:id="9"/>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2019</w:t>
      </w:r>
      <w:r>
        <w:rPr>
          <w:rFonts w:ascii="仿宋_GB2312" w:eastAsia="仿宋_GB2312" w:cs="DengXian-Regular" w:hint="eastAsia"/>
          <w:sz w:val="32"/>
          <w:szCs w:val="32"/>
        </w:rPr>
        <w:t>年</w:t>
      </w:r>
      <w:r>
        <w:rPr>
          <w:rFonts w:ascii="仿宋_GB2312" w:eastAsia="仿宋_GB2312" w:cs="DengXian-Regular" w:hint="eastAsia"/>
          <w:sz w:val="32"/>
          <w:szCs w:val="32"/>
        </w:rPr>
        <w:t>区法</w:t>
      </w:r>
      <w:r>
        <w:rPr>
          <w:rFonts w:ascii="仿宋_GB2312" w:eastAsia="仿宋_GB2312" w:cs="DengXian-Regular" w:hint="eastAsia"/>
          <w:sz w:val="32"/>
          <w:szCs w:val="32"/>
        </w:rPr>
        <w:t>院预算收入</w:t>
      </w:r>
      <w:r>
        <w:rPr>
          <w:rFonts w:ascii="仿宋" w:eastAsia="仿宋" w:hAnsi="仿宋" w:hint="eastAsia"/>
          <w:sz w:val="32"/>
          <w:szCs w:val="32"/>
        </w:rPr>
        <w:t>2601.13</w:t>
      </w:r>
      <w:r>
        <w:rPr>
          <w:rFonts w:ascii="仿宋_GB2312" w:eastAsia="仿宋_GB2312" w:cs="DengXian-Regular" w:hint="eastAsia"/>
          <w:sz w:val="32"/>
          <w:szCs w:val="32"/>
        </w:rPr>
        <w:t>万元，均为一般公共预算拨款，其中：财政拨款</w:t>
      </w:r>
      <w:r>
        <w:rPr>
          <w:rFonts w:ascii="仿宋" w:eastAsia="仿宋" w:hAnsi="仿宋"/>
          <w:sz w:val="32"/>
          <w:szCs w:val="32"/>
        </w:rPr>
        <w:t>2318.13</w:t>
      </w:r>
      <w:r>
        <w:rPr>
          <w:rFonts w:ascii="仿宋_GB2312" w:eastAsia="仿宋_GB2312" w:cs="DengXian-Regular" w:hint="eastAsia"/>
          <w:sz w:val="32"/>
          <w:szCs w:val="32"/>
        </w:rPr>
        <w:t>万元，中央财政提前通知</w:t>
      </w:r>
      <w:r>
        <w:rPr>
          <w:rFonts w:ascii="仿宋_GB2312" w:eastAsia="仿宋_GB2312" w:cs="DengXian-Regular" w:hint="eastAsia"/>
          <w:sz w:val="32"/>
          <w:szCs w:val="32"/>
        </w:rPr>
        <w:lastRenderedPageBreak/>
        <w:t>转移支付</w:t>
      </w:r>
      <w:r>
        <w:rPr>
          <w:rFonts w:ascii="仿宋_GB2312" w:eastAsia="仿宋_GB2312" w:cs="DengXian-Regular"/>
          <w:sz w:val="32"/>
          <w:szCs w:val="32"/>
        </w:rPr>
        <w:t>283</w:t>
      </w:r>
      <w:r>
        <w:rPr>
          <w:rFonts w:ascii="仿宋_GB2312" w:eastAsia="仿宋_GB2312" w:cs="DengXian-Regular" w:hint="eastAsia"/>
          <w:sz w:val="32"/>
          <w:szCs w:val="32"/>
        </w:rPr>
        <w:t>万元。预算收入按功能分类包含：公共安全支出</w:t>
      </w:r>
      <w:r>
        <w:rPr>
          <w:rFonts w:ascii="仿宋_GB2312" w:eastAsia="仿宋_GB2312" w:cs="DengXian-Regular"/>
          <w:sz w:val="32"/>
          <w:szCs w:val="32"/>
        </w:rPr>
        <w:t>2352.7</w:t>
      </w:r>
      <w:r>
        <w:rPr>
          <w:rFonts w:ascii="仿宋_GB2312" w:eastAsia="仿宋_GB2312" w:cs="DengXian-Regular" w:hint="eastAsia"/>
          <w:sz w:val="32"/>
          <w:szCs w:val="32"/>
        </w:rPr>
        <w:t>万元，社会保障和就业支出</w:t>
      </w:r>
      <w:r>
        <w:rPr>
          <w:rFonts w:ascii="仿宋_GB2312" w:eastAsia="仿宋_GB2312" w:cs="DengXian-Regular"/>
          <w:sz w:val="32"/>
          <w:szCs w:val="32"/>
        </w:rPr>
        <w:t>120.32</w:t>
      </w:r>
      <w:r>
        <w:rPr>
          <w:rFonts w:ascii="仿宋_GB2312" w:eastAsia="仿宋_GB2312" w:cs="DengXian-Regular" w:hint="eastAsia"/>
          <w:sz w:val="32"/>
          <w:szCs w:val="32"/>
        </w:rPr>
        <w:t>万元，医疗卫生与计划生育支出</w:t>
      </w:r>
      <w:r>
        <w:rPr>
          <w:rFonts w:ascii="仿宋_GB2312" w:eastAsia="仿宋_GB2312" w:cs="DengXian-Regular"/>
          <w:sz w:val="32"/>
          <w:szCs w:val="32"/>
        </w:rPr>
        <w:t>55.92</w:t>
      </w:r>
      <w:r>
        <w:rPr>
          <w:rFonts w:ascii="仿宋_GB2312" w:eastAsia="仿宋_GB2312" w:cs="DengXian-Regular" w:hint="eastAsia"/>
          <w:sz w:val="32"/>
          <w:szCs w:val="32"/>
        </w:rPr>
        <w:t>万元，住房保障支出</w:t>
      </w:r>
      <w:r>
        <w:rPr>
          <w:rFonts w:ascii="仿宋_GB2312" w:eastAsia="仿宋_GB2312" w:cs="DengXian-Regular"/>
          <w:sz w:val="32"/>
          <w:szCs w:val="32"/>
        </w:rPr>
        <w:t>72.19</w:t>
      </w:r>
      <w:r>
        <w:rPr>
          <w:rFonts w:ascii="仿宋_GB2312" w:eastAsia="仿宋_GB2312" w:cs="DengXian-Regular" w:hint="eastAsia"/>
          <w:sz w:val="32"/>
          <w:szCs w:val="32"/>
        </w:rPr>
        <w:t>万元。具体预算收入详见附件</w:t>
      </w:r>
      <w:r>
        <w:rPr>
          <w:rFonts w:ascii="仿宋_GB2312" w:eastAsia="仿宋_GB2312" w:cs="DengXian-Regular" w:hint="eastAsia"/>
          <w:sz w:val="32"/>
          <w:szCs w:val="32"/>
        </w:rPr>
        <w:t>2</w:t>
      </w:r>
      <w:r>
        <w:rPr>
          <w:rFonts w:ascii="仿宋_GB2312" w:eastAsia="仿宋_GB2312" w:cs="DengXian-Regular" w:hint="eastAsia"/>
          <w:sz w:val="32"/>
          <w:szCs w:val="32"/>
        </w:rPr>
        <w:t>。</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2019</w:t>
      </w:r>
      <w:r>
        <w:rPr>
          <w:rFonts w:ascii="仿宋_GB2312" w:eastAsia="仿宋_GB2312" w:cs="DengXian-Regular" w:hint="eastAsia"/>
          <w:sz w:val="32"/>
          <w:szCs w:val="32"/>
        </w:rPr>
        <w:t>年</w:t>
      </w:r>
      <w:r>
        <w:rPr>
          <w:rFonts w:ascii="仿宋_GB2312" w:eastAsia="仿宋_GB2312" w:cs="DengXian-Regular" w:hint="eastAsia"/>
          <w:sz w:val="32"/>
          <w:szCs w:val="32"/>
        </w:rPr>
        <w:t>区法</w:t>
      </w:r>
      <w:r>
        <w:rPr>
          <w:rFonts w:ascii="仿宋_GB2312" w:eastAsia="仿宋_GB2312" w:cs="DengXian-Regular" w:hint="eastAsia"/>
          <w:sz w:val="32"/>
          <w:szCs w:val="32"/>
        </w:rPr>
        <w:t>院决算收入</w:t>
      </w:r>
      <w:r>
        <w:rPr>
          <w:rFonts w:ascii="仿宋_GB2312" w:eastAsia="仿宋_GB2312" w:cs="DengXian-Regular"/>
          <w:sz w:val="32"/>
          <w:szCs w:val="32"/>
        </w:rPr>
        <w:t>2442.2</w:t>
      </w:r>
      <w:r>
        <w:rPr>
          <w:rFonts w:ascii="仿宋_GB2312" w:eastAsia="仿宋_GB2312" w:cs="DengXian-Regular" w:hint="eastAsia"/>
          <w:sz w:val="32"/>
          <w:szCs w:val="32"/>
        </w:rPr>
        <w:t>万元，其中：财政拨款收入</w:t>
      </w:r>
      <w:r>
        <w:rPr>
          <w:rFonts w:ascii="仿宋_GB2312" w:eastAsia="仿宋_GB2312" w:cs="DengXian-Regular"/>
          <w:sz w:val="32"/>
          <w:szCs w:val="32"/>
        </w:rPr>
        <w:t>2442</w:t>
      </w:r>
      <w:r>
        <w:rPr>
          <w:rFonts w:ascii="仿宋_GB2312" w:eastAsia="仿宋_GB2312" w:cs="DengXian-Regular" w:hint="eastAsia"/>
          <w:sz w:val="32"/>
          <w:szCs w:val="32"/>
        </w:rPr>
        <w:t>万元，其他收入</w:t>
      </w:r>
      <w:r>
        <w:rPr>
          <w:rFonts w:ascii="仿宋_GB2312" w:eastAsia="仿宋_GB2312" w:cs="DengXian-Regular"/>
          <w:sz w:val="32"/>
          <w:szCs w:val="32"/>
        </w:rPr>
        <w:t>0.2</w:t>
      </w:r>
      <w:r>
        <w:rPr>
          <w:rFonts w:ascii="仿宋_GB2312" w:eastAsia="仿宋_GB2312" w:cs="DengXian-Regular" w:hint="eastAsia"/>
          <w:sz w:val="32"/>
          <w:szCs w:val="32"/>
        </w:rPr>
        <w:t>万元（全部为利息收入）。决算收入按功能分类包含：公共安全支出</w:t>
      </w:r>
      <w:r>
        <w:rPr>
          <w:rFonts w:ascii="仿宋_GB2312" w:eastAsia="仿宋_GB2312" w:cs="DengXian-Regular"/>
          <w:sz w:val="32"/>
          <w:szCs w:val="32"/>
        </w:rPr>
        <w:t>2083.95</w:t>
      </w:r>
      <w:r>
        <w:rPr>
          <w:rFonts w:ascii="仿宋_GB2312" w:eastAsia="仿宋_GB2312" w:cs="DengXian-Regular" w:hint="eastAsia"/>
          <w:sz w:val="32"/>
          <w:szCs w:val="32"/>
        </w:rPr>
        <w:t>万元，占比</w:t>
      </w:r>
      <w:r>
        <w:rPr>
          <w:rFonts w:ascii="仿宋_GB2312" w:eastAsia="仿宋_GB2312" w:cs="DengXian-Regular"/>
          <w:sz w:val="32"/>
          <w:szCs w:val="32"/>
        </w:rPr>
        <w:t>85.33</w:t>
      </w:r>
      <w:r>
        <w:rPr>
          <w:rFonts w:ascii="仿宋_GB2312" w:eastAsia="仿宋_GB2312" w:cs="DengXian-Regular" w:hint="eastAsia"/>
          <w:sz w:val="32"/>
          <w:szCs w:val="32"/>
        </w:rPr>
        <w:t>%</w:t>
      </w:r>
      <w:r>
        <w:rPr>
          <w:rFonts w:ascii="仿宋_GB2312" w:eastAsia="仿宋_GB2312" w:cs="DengXian-Regular" w:hint="eastAsia"/>
          <w:sz w:val="32"/>
          <w:szCs w:val="32"/>
        </w:rPr>
        <w:t>；社会保障和就业支出</w:t>
      </w:r>
      <w:r>
        <w:rPr>
          <w:rFonts w:ascii="仿宋_GB2312" w:eastAsia="仿宋_GB2312" w:cs="DengXian-Regular"/>
          <w:sz w:val="32"/>
          <w:szCs w:val="32"/>
        </w:rPr>
        <w:t>255.7</w:t>
      </w:r>
      <w:r>
        <w:rPr>
          <w:rFonts w:ascii="仿宋_GB2312" w:eastAsia="仿宋_GB2312" w:cs="DengXian-Regular" w:hint="eastAsia"/>
          <w:sz w:val="32"/>
          <w:szCs w:val="32"/>
        </w:rPr>
        <w:t>万元，占比</w:t>
      </w:r>
      <w:r>
        <w:rPr>
          <w:rFonts w:ascii="仿宋_GB2312" w:eastAsia="仿宋_GB2312" w:cs="DengXian-Regular" w:hint="eastAsia"/>
          <w:sz w:val="32"/>
          <w:szCs w:val="32"/>
        </w:rPr>
        <w:t>10.47%</w:t>
      </w:r>
      <w:r>
        <w:rPr>
          <w:rFonts w:ascii="仿宋_GB2312" w:eastAsia="仿宋_GB2312" w:cs="DengXian-Regular" w:hint="eastAsia"/>
          <w:sz w:val="32"/>
          <w:szCs w:val="32"/>
        </w:rPr>
        <w:t>；医疗卫生与计划生育支出</w:t>
      </w:r>
      <w:r>
        <w:rPr>
          <w:rFonts w:ascii="仿宋_GB2312" w:eastAsia="仿宋_GB2312" w:cs="DengXian-Regular"/>
          <w:sz w:val="32"/>
          <w:szCs w:val="32"/>
        </w:rPr>
        <w:t>34.76</w:t>
      </w:r>
      <w:r>
        <w:rPr>
          <w:rFonts w:ascii="仿宋_GB2312" w:eastAsia="仿宋_GB2312" w:cs="DengXian-Regular" w:hint="eastAsia"/>
          <w:sz w:val="32"/>
          <w:szCs w:val="32"/>
        </w:rPr>
        <w:t>万元，占比</w:t>
      </w:r>
      <w:r>
        <w:rPr>
          <w:rFonts w:ascii="仿宋_GB2312" w:eastAsia="仿宋_GB2312" w:cs="DengXian-Regular"/>
          <w:sz w:val="32"/>
          <w:szCs w:val="32"/>
        </w:rPr>
        <w:t>1.42</w:t>
      </w:r>
      <w:r>
        <w:rPr>
          <w:rFonts w:ascii="仿宋_GB2312" w:eastAsia="仿宋_GB2312" w:cs="DengXian-Regular" w:hint="eastAsia"/>
          <w:sz w:val="32"/>
          <w:szCs w:val="32"/>
        </w:rPr>
        <w:t>%</w:t>
      </w:r>
      <w:r>
        <w:rPr>
          <w:rFonts w:ascii="仿宋_GB2312" w:eastAsia="仿宋_GB2312" w:cs="DengXian-Regular" w:hint="eastAsia"/>
          <w:sz w:val="32"/>
          <w:szCs w:val="32"/>
        </w:rPr>
        <w:t>；住房保障支出</w:t>
      </w:r>
      <w:r>
        <w:rPr>
          <w:rFonts w:ascii="仿宋_GB2312" w:eastAsia="仿宋_GB2312" w:cs="DengXian-Regular"/>
          <w:sz w:val="32"/>
          <w:szCs w:val="32"/>
        </w:rPr>
        <w:t>67.79</w:t>
      </w:r>
      <w:r>
        <w:rPr>
          <w:rFonts w:ascii="仿宋_GB2312" w:eastAsia="仿宋_GB2312" w:cs="DengXian-Regular" w:hint="eastAsia"/>
          <w:sz w:val="32"/>
          <w:szCs w:val="32"/>
        </w:rPr>
        <w:t>万元，占比</w:t>
      </w:r>
      <w:r>
        <w:rPr>
          <w:rFonts w:ascii="仿宋_GB2312" w:eastAsia="仿宋_GB2312" w:cs="DengXian-Regular"/>
          <w:sz w:val="32"/>
          <w:szCs w:val="32"/>
        </w:rPr>
        <w:t>2.78</w:t>
      </w:r>
      <w:r>
        <w:rPr>
          <w:rFonts w:ascii="仿宋_GB2312" w:eastAsia="仿宋_GB2312" w:cs="DengXian-Regular" w:hint="eastAsia"/>
          <w:sz w:val="32"/>
          <w:szCs w:val="32"/>
        </w:rPr>
        <w:t>%</w:t>
      </w:r>
      <w:r>
        <w:rPr>
          <w:rFonts w:ascii="仿宋_GB2312" w:eastAsia="仿宋_GB2312" w:cs="DengXian-Regular" w:hint="eastAsia"/>
          <w:sz w:val="32"/>
          <w:szCs w:val="32"/>
        </w:rPr>
        <w:t>。具体决算收入详见附件</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。决算收入结构如图</w:t>
      </w:r>
      <w:r>
        <w:rPr>
          <w:rFonts w:ascii="仿宋_GB2312" w:eastAsia="仿宋_GB2312" w:cs="DengXian-Regular" w:hint="eastAsia"/>
          <w:sz w:val="32"/>
          <w:szCs w:val="32"/>
        </w:rPr>
        <w:t>1</w:t>
      </w:r>
      <w:r>
        <w:rPr>
          <w:rFonts w:ascii="仿宋_GB2312" w:eastAsia="仿宋_GB2312" w:cs="DengXian-Regular" w:hint="eastAsia"/>
          <w:sz w:val="32"/>
          <w:szCs w:val="32"/>
        </w:rPr>
        <w:t>。</w:t>
      </w:r>
    </w:p>
    <w:p w:rsidR="00D36435" w:rsidRDefault="00C05A13">
      <w:pPr>
        <w:spacing w:after="0" w:line="360" w:lineRule="auto"/>
        <w:jc w:val="center"/>
        <w:textAlignment w:val="baseline"/>
        <w:rPr>
          <w:rFonts w:ascii="仿宋_GB2312" w:eastAsia="仿宋_GB2312" w:cs="DengXian-Regular"/>
          <w:sz w:val="32"/>
          <w:szCs w:val="32"/>
        </w:rPr>
      </w:pPr>
      <w:r>
        <w:rPr>
          <w:rFonts w:asciiTheme="minorEastAsia" w:eastAsiaTheme="minorEastAsia" w:hAnsiTheme="minorEastAsia" w:cstheme="minorEastAsia" w:hint="eastAsia"/>
          <w:b/>
          <w:bCs/>
          <w:sz w:val="32"/>
          <w:szCs w:val="32"/>
        </w:rPr>
        <w:t>图</w:t>
      </w:r>
      <w:r>
        <w:rPr>
          <w:rFonts w:asciiTheme="minorEastAsia" w:eastAsiaTheme="minorEastAsia" w:hAnsiTheme="minorEastAsia" w:cstheme="minorEastAsia" w:hint="eastAsia"/>
          <w:b/>
          <w:bCs/>
          <w:sz w:val="32"/>
          <w:szCs w:val="32"/>
        </w:rPr>
        <w:t>1  2019</w:t>
      </w:r>
      <w:r>
        <w:rPr>
          <w:rFonts w:asciiTheme="minorEastAsia" w:eastAsiaTheme="minorEastAsia" w:hAnsiTheme="minorEastAsia" w:cstheme="minorEastAsia" w:hint="eastAsia"/>
          <w:b/>
          <w:bCs/>
          <w:sz w:val="32"/>
          <w:szCs w:val="32"/>
        </w:rPr>
        <w:t>年度人民法院决算收入结构图</w:t>
      </w:r>
    </w:p>
    <w:p w:rsidR="00D36435" w:rsidRDefault="00C05A13">
      <w:pPr>
        <w:spacing w:after="0" w:line="540" w:lineRule="exact"/>
        <w:ind w:firstLineChars="200" w:firstLine="440"/>
        <w:jc w:val="both"/>
        <w:rPr>
          <w:rFonts w:ascii="仿宋_GB2312" w:eastAsia="仿宋_GB2312" w:hAnsiTheme="minorEastAsia" w:cs="Times New Roman"/>
          <w:sz w:val="32"/>
          <w:szCs w:val="32"/>
          <w:u w:color="000000"/>
        </w:rPr>
      </w:pPr>
      <w:r>
        <w:rPr>
          <w:noProof/>
        </w:rPr>
        <w:drawing>
          <wp:anchor distT="0" distB="0" distL="114300" distR="114300" simplePos="0" relativeHeight="251656192" behindDoc="0" locked="0" layoutInCell="1" allowOverlap="1">
            <wp:simplePos x="0" y="0"/>
            <wp:positionH relativeFrom="column">
              <wp:posOffset>394970</wp:posOffset>
            </wp:positionH>
            <wp:positionV relativeFrom="paragraph">
              <wp:posOffset>56515</wp:posOffset>
            </wp:positionV>
            <wp:extent cx="4562475" cy="2866390"/>
            <wp:effectExtent l="0" t="0" r="0" b="0"/>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D36435" w:rsidRDefault="00D36435">
      <w:pPr>
        <w:spacing w:after="0" w:line="540" w:lineRule="exact"/>
        <w:ind w:firstLineChars="200" w:firstLine="640"/>
        <w:jc w:val="both"/>
        <w:rPr>
          <w:rFonts w:ascii="仿宋_GB2312" w:eastAsia="仿宋_GB2312" w:hAnsiTheme="minorEastAsia" w:cs="Times New Roman"/>
          <w:sz w:val="32"/>
          <w:szCs w:val="32"/>
          <w:u w:color="000000"/>
        </w:rPr>
      </w:pPr>
    </w:p>
    <w:p w:rsidR="00D36435" w:rsidRDefault="00D36435">
      <w:pPr>
        <w:spacing w:after="0" w:line="540" w:lineRule="exact"/>
        <w:ind w:firstLineChars="200" w:firstLine="640"/>
        <w:jc w:val="both"/>
        <w:rPr>
          <w:rFonts w:ascii="仿宋_GB2312" w:eastAsia="仿宋_GB2312" w:cs="DengXian-Regular"/>
          <w:sz w:val="32"/>
          <w:szCs w:val="32"/>
        </w:rPr>
      </w:pPr>
    </w:p>
    <w:p w:rsidR="00D36435" w:rsidRDefault="00D36435">
      <w:pPr>
        <w:spacing w:after="0" w:line="540" w:lineRule="exact"/>
        <w:ind w:firstLineChars="200" w:firstLine="640"/>
        <w:jc w:val="both"/>
        <w:rPr>
          <w:rFonts w:ascii="仿宋_GB2312" w:eastAsia="仿宋_GB2312" w:cs="DengXian-Regular"/>
          <w:sz w:val="32"/>
          <w:szCs w:val="32"/>
        </w:rPr>
      </w:pPr>
    </w:p>
    <w:p w:rsidR="00D36435" w:rsidRDefault="00D36435">
      <w:pPr>
        <w:spacing w:after="0" w:line="540" w:lineRule="exact"/>
        <w:ind w:firstLineChars="200" w:firstLine="640"/>
        <w:jc w:val="both"/>
        <w:rPr>
          <w:rFonts w:ascii="仿宋_GB2312" w:eastAsia="仿宋_GB2312" w:cs="DengXian-Regular"/>
          <w:sz w:val="32"/>
          <w:szCs w:val="32"/>
        </w:rPr>
      </w:pPr>
    </w:p>
    <w:p w:rsidR="00D36435" w:rsidRDefault="00D36435">
      <w:pPr>
        <w:spacing w:after="0" w:line="540" w:lineRule="exact"/>
        <w:ind w:firstLineChars="200" w:firstLine="640"/>
        <w:jc w:val="both"/>
        <w:rPr>
          <w:rFonts w:ascii="仿宋_GB2312" w:eastAsia="仿宋_GB2312" w:cs="DengXian-Regular"/>
          <w:sz w:val="32"/>
          <w:szCs w:val="32"/>
        </w:rPr>
      </w:pPr>
    </w:p>
    <w:p w:rsidR="00D36435" w:rsidRDefault="00D36435">
      <w:pPr>
        <w:spacing w:after="0" w:line="540" w:lineRule="exact"/>
        <w:ind w:firstLineChars="200" w:firstLine="640"/>
        <w:jc w:val="both"/>
        <w:rPr>
          <w:rFonts w:ascii="仿宋_GB2312" w:eastAsia="仿宋_GB2312" w:cs="DengXian-Regular"/>
          <w:sz w:val="32"/>
          <w:szCs w:val="32"/>
        </w:rPr>
      </w:pPr>
    </w:p>
    <w:p w:rsidR="00D36435" w:rsidRDefault="00D36435">
      <w:pPr>
        <w:spacing w:after="0" w:line="540" w:lineRule="exact"/>
        <w:ind w:firstLineChars="200" w:firstLine="640"/>
        <w:jc w:val="both"/>
        <w:rPr>
          <w:rFonts w:ascii="仿宋_GB2312" w:eastAsia="仿宋_GB2312" w:cs="DengXian-Regular"/>
          <w:sz w:val="32"/>
          <w:szCs w:val="32"/>
        </w:rPr>
      </w:pPr>
    </w:p>
    <w:p w:rsidR="00D36435" w:rsidRDefault="00D36435">
      <w:pPr>
        <w:spacing w:after="0" w:line="540" w:lineRule="exact"/>
        <w:ind w:firstLineChars="200" w:firstLine="640"/>
        <w:jc w:val="both"/>
        <w:rPr>
          <w:rFonts w:ascii="仿宋_GB2312" w:eastAsia="仿宋_GB2312" w:cs="DengXian-Regular"/>
          <w:sz w:val="32"/>
          <w:szCs w:val="32"/>
        </w:rPr>
      </w:pPr>
    </w:p>
    <w:p w:rsidR="00D36435" w:rsidRDefault="00C05A13">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区法</w:t>
      </w:r>
      <w:r>
        <w:rPr>
          <w:rFonts w:ascii="仿宋_GB2312" w:eastAsia="仿宋_GB2312" w:cs="DengXian-Regular" w:hint="eastAsia"/>
          <w:sz w:val="32"/>
          <w:szCs w:val="32"/>
        </w:rPr>
        <w:t>院一般公共预算财政拨款决算收入比年初预算减少</w:t>
      </w:r>
      <w:r>
        <w:rPr>
          <w:rFonts w:ascii="仿宋_GB2312" w:eastAsia="仿宋_GB2312" w:cs="DengXian-Regular" w:hint="eastAsia"/>
          <w:sz w:val="32"/>
          <w:szCs w:val="32"/>
        </w:rPr>
        <w:t>158.93</w:t>
      </w:r>
      <w:r>
        <w:rPr>
          <w:rFonts w:ascii="仿宋_GB2312" w:eastAsia="仿宋_GB2312" w:cs="DengXian-Regular" w:hint="eastAsia"/>
          <w:sz w:val="32"/>
          <w:szCs w:val="32"/>
        </w:rPr>
        <w:t>万元，完成年初预算的</w:t>
      </w:r>
      <w:r>
        <w:rPr>
          <w:rFonts w:ascii="仿宋_GB2312" w:eastAsia="仿宋_GB2312" w:cs="DengXian-Regular"/>
          <w:sz w:val="32"/>
          <w:szCs w:val="32"/>
        </w:rPr>
        <w:t>93.89</w:t>
      </w:r>
      <w:r>
        <w:rPr>
          <w:rFonts w:ascii="仿宋_GB2312" w:eastAsia="仿宋_GB2312" w:cs="DengXian-Regular" w:hint="eastAsia"/>
          <w:sz w:val="32"/>
          <w:szCs w:val="32"/>
        </w:rPr>
        <w:t>%</w:t>
      </w:r>
      <w:r>
        <w:rPr>
          <w:rFonts w:ascii="仿宋_GB2312" w:eastAsia="仿宋_GB2312" w:cs="DengXian-Regular" w:hint="eastAsia"/>
          <w:sz w:val="32"/>
          <w:szCs w:val="32"/>
        </w:rPr>
        <w:t>。决算收入小于预算收入的主要原因为</w:t>
      </w:r>
      <w:r>
        <w:rPr>
          <w:rFonts w:ascii="仿宋_GB2312" w:eastAsia="仿宋_GB2312" w:cs="DengXian-Regular" w:hint="eastAsia"/>
          <w:sz w:val="32"/>
          <w:szCs w:val="32"/>
        </w:rPr>
        <w:t>2019</w:t>
      </w:r>
      <w:r>
        <w:rPr>
          <w:rFonts w:ascii="仿宋_GB2312" w:eastAsia="仿宋_GB2312" w:cs="DengXian-Regular" w:hint="eastAsia"/>
          <w:sz w:val="32"/>
          <w:szCs w:val="32"/>
        </w:rPr>
        <w:t>年度我院</w:t>
      </w:r>
      <w:r>
        <w:rPr>
          <w:rFonts w:ascii="仿宋_GB2312" w:eastAsia="仿宋_GB2312" w:cs="DengXian-Regular"/>
          <w:sz w:val="32"/>
          <w:szCs w:val="32"/>
        </w:rPr>
        <w:t>离退人员增加、</w:t>
      </w:r>
      <w:r>
        <w:rPr>
          <w:rFonts w:ascii="仿宋_GB2312" w:eastAsia="仿宋_GB2312" w:cs="DengXian-Regular" w:hint="eastAsia"/>
          <w:sz w:val="32"/>
          <w:szCs w:val="32"/>
        </w:rPr>
        <w:t>日常</w:t>
      </w:r>
      <w:r>
        <w:rPr>
          <w:rFonts w:ascii="仿宋_GB2312" w:eastAsia="仿宋_GB2312" w:cs="DengXian-Regular"/>
          <w:sz w:val="32"/>
          <w:szCs w:val="32"/>
        </w:rPr>
        <w:t>经费支出</w:t>
      </w:r>
      <w:r>
        <w:rPr>
          <w:rFonts w:ascii="仿宋_GB2312" w:eastAsia="仿宋_GB2312" w:cs="DengXian-Regular" w:hint="eastAsia"/>
          <w:sz w:val="32"/>
          <w:szCs w:val="32"/>
        </w:rPr>
        <w:t>减少。</w:t>
      </w:r>
    </w:p>
    <w:p w:rsidR="00D36435" w:rsidRDefault="00C05A13">
      <w:pPr>
        <w:pStyle w:val="3"/>
        <w:spacing w:before="0" w:after="0"/>
        <w:ind w:firstLineChars="200" w:firstLine="643"/>
        <w:jc w:val="both"/>
        <w:rPr>
          <w:rFonts w:ascii="仿宋_GB2312" w:hAnsiTheme="minorEastAsia"/>
          <w:sz w:val="32"/>
        </w:rPr>
      </w:pPr>
      <w:bookmarkStart w:id="12" w:name="_Toc18197"/>
      <w:r>
        <w:rPr>
          <w:rFonts w:ascii="仿宋_GB2312" w:hAnsiTheme="minorEastAsia" w:hint="eastAsia"/>
          <w:sz w:val="32"/>
        </w:rPr>
        <w:t>（四）预算支出及决算</w:t>
      </w:r>
      <w:bookmarkEnd w:id="10"/>
      <w:bookmarkEnd w:id="11"/>
      <w:r>
        <w:rPr>
          <w:rFonts w:ascii="仿宋_GB2312" w:hAnsiTheme="minorEastAsia" w:hint="eastAsia"/>
          <w:sz w:val="32"/>
        </w:rPr>
        <w:t>支出</w:t>
      </w:r>
      <w:bookmarkEnd w:id="12"/>
    </w:p>
    <w:p w:rsidR="00D36435" w:rsidRDefault="00C05A13">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2019</w:t>
      </w:r>
      <w:r>
        <w:rPr>
          <w:rFonts w:ascii="仿宋_GB2312" w:eastAsia="仿宋_GB2312" w:cs="DengXian-Regular" w:hint="eastAsia"/>
          <w:sz w:val="32"/>
          <w:szCs w:val="32"/>
        </w:rPr>
        <w:t>年度</w:t>
      </w:r>
      <w:r>
        <w:rPr>
          <w:rFonts w:ascii="仿宋_GB2312" w:eastAsia="仿宋_GB2312" w:cs="DengXian-Regular" w:hint="eastAsia"/>
          <w:sz w:val="32"/>
          <w:szCs w:val="32"/>
        </w:rPr>
        <w:t>区法</w:t>
      </w:r>
      <w:r>
        <w:rPr>
          <w:rFonts w:ascii="仿宋_GB2312" w:eastAsia="仿宋_GB2312" w:cs="DengXian-Regular" w:hint="eastAsia"/>
          <w:sz w:val="32"/>
          <w:szCs w:val="32"/>
        </w:rPr>
        <w:t>院</w:t>
      </w:r>
      <w:r>
        <w:rPr>
          <w:rFonts w:ascii="仿宋_GB2312" w:eastAsia="仿宋_GB2312" w:hAnsiTheme="minorEastAsia" w:cs="Times New Roman" w:hint="eastAsia"/>
          <w:sz w:val="32"/>
          <w:szCs w:val="32"/>
          <w:u w:color="000000"/>
        </w:rPr>
        <w:t>预算支出安排</w:t>
      </w:r>
      <w:r>
        <w:rPr>
          <w:rFonts w:ascii="仿宋" w:eastAsia="仿宋" w:hAnsi="仿宋" w:hint="eastAsia"/>
          <w:sz w:val="32"/>
          <w:szCs w:val="32"/>
        </w:rPr>
        <w:t>2601.13</w:t>
      </w:r>
      <w:r>
        <w:rPr>
          <w:rFonts w:ascii="仿宋_GB2312" w:eastAsia="仿宋_GB2312" w:hAnsiTheme="minorEastAsia" w:cs="Times New Roman" w:hint="eastAsia"/>
          <w:sz w:val="32"/>
          <w:szCs w:val="32"/>
          <w:u w:color="000000"/>
        </w:rPr>
        <w:t>万元，其中：基本支出</w:t>
      </w:r>
      <w:r>
        <w:rPr>
          <w:rFonts w:ascii="仿宋" w:eastAsia="仿宋" w:hAnsi="仿宋" w:hint="eastAsia"/>
          <w:sz w:val="32"/>
          <w:szCs w:val="32"/>
        </w:rPr>
        <w:t>1831.86</w:t>
      </w:r>
      <w:r>
        <w:rPr>
          <w:rFonts w:ascii="仿宋_GB2312" w:eastAsia="仿宋_GB2312" w:hAnsiTheme="minorEastAsia" w:cs="Times New Roman" w:hint="eastAsia"/>
          <w:sz w:val="32"/>
          <w:szCs w:val="32"/>
          <w:u w:color="000000"/>
        </w:rPr>
        <w:t>万元，项目支出</w:t>
      </w:r>
      <w:r>
        <w:rPr>
          <w:rFonts w:ascii="仿宋" w:eastAsia="仿宋" w:hAnsi="仿宋" w:hint="eastAsia"/>
          <w:sz w:val="32"/>
          <w:szCs w:val="32"/>
        </w:rPr>
        <w:t>769.27</w:t>
      </w:r>
      <w:r>
        <w:rPr>
          <w:rFonts w:ascii="仿宋_GB2312" w:eastAsia="仿宋_GB2312" w:hAnsiTheme="minorEastAsia" w:cs="Times New Roman" w:hint="eastAsia"/>
          <w:sz w:val="32"/>
          <w:szCs w:val="32"/>
          <w:u w:color="000000"/>
        </w:rPr>
        <w:t>万元。预算支出按功能分类包含：公共安全支出</w:t>
      </w:r>
      <w:r>
        <w:rPr>
          <w:rFonts w:ascii="仿宋_GB2312" w:eastAsia="仿宋_GB2312" w:cs="DengXian-Regular"/>
          <w:sz w:val="32"/>
          <w:szCs w:val="32"/>
        </w:rPr>
        <w:t>2352.7</w:t>
      </w:r>
      <w:r>
        <w:rPr>
          <w:rFonts w:ascii="仿宋_GB2312" w:eastAsia="仿宋_GB2312" w:hAnsiTheme="minorEastAsia" w:cs="Times New Roman" w:hint="eastAsia"/>
          <w:sz w:val="32"/>
          <w:szCs w:val="32"/>
          <w:u w:color="000000"/>
        </w:rPr>
        <w:t>万元，社会保障和就业支出</w:t>
      </w:r>
      <w:r>
        <w:rPr>
          <w:rFonts w:ascii="仿宋_GB2312" w:eastAsia="仿宋_GB2312" w:cs="DengXian-Regular"/>
          <w:sz w:val="32"/>
          <w:szCs w:val="32"/>
        </w:rPr>
        <w:t>120.32</w:t>
      </w:r>
      <w:r>
        <w:rPr>
          <w:rFonts w:ascii="仿宋_GB2312" w:eastAsia="仿宋_GB2312" w:hAnsiTheme="minorEastAsia" w:cs="Times New Roman" w:hint="eastAsia"/>
          <w:sz w:val="32"/>
          <w:szCs w:val="32"/>
          <w:u w:color="000000"/>
        </w:rPr>
        <w:t>万元，医疗卫生与计划教育支出</w:t>
      </w:r>
      <w:r>
        <w:rPr>
          <w:rFonts w:ascii="仿宋_GB2312" w:eastAsia="仿宋_GB2312" w:cs="DengXian-Regular"/>
          <w:sz w:val="32"/>
          <w:szCs w:val="32"/>
        </w:rPr>
        <w:t>55.92</w:t>
      </w:r>
      <w:r>
        <w:rPr>
          <w:rFonts w:ascii="仿宋_GB2312" w:eastAsia="仿宋_GB2312" w:hAnsiTheme="minorEastAsia" w:cs="Times New Roman" w:hint="eastAsia"/>
          <w:sz w:val="32"/>
          <w:szCs w:val="32"/>
          <w:u w:color="000000"/>
        </w:rPr>
        <w:t>万元，住房保障支出</w:t>
      </w:r>
      <w:r>
        <w:rPr>
          <w:rFonts w:ascii="仿宋_GB2312" w:eastAsia="仿宋_GB2312" w:cs="DengXian-Regular"/>
          <w:sz w:val="32"/>
          <w:szCs w:val="32"/>
        </w:rPr>
        <w:t>72.19</w:t>
      </w:r>
      <w:r>
        <w:rPr>
          <w:rFonts w:ascii="仿宋_GB2312" w:eastAsia="仿宋_GB2312" w:hAnsiTheme="minorEastAsia" w:cs="Times New Roman" w:hint="eastAsia"/>
          <w:sz w:val="32"/>
          <w:szCs w:val="32"/>
          <w:u w:color="000000"/>
        </w:rPr>
        <w:t>万元。具体预算支出详见附件</w:t>
      </w:r>
      <w:r>
        <w:rPr>
          <w:rFonts w:ascii="仿宋_GB2312" w:eastAsia="仿宋_GB2312" w:hAnsiTheme="minorEastAsia" w:cs="Times New Roman" w:hint="eastAsia"/>
          <w:sz w:val="32"/>
          <w:szCs w:val="32"/>
          <w:u w:color="000000"/>
        </w:rPr>
        <w:t>2</w:t>
      </w:r>
      <w:r>
        <w:rPr>
          <w:rFonts w:ascii="仿宋_GB2312" w:eastAsia="仿宋_GB2312" w:hAnsiTheme="minorEastAsia" w:cs="Times New Roman" w:hint="eastAsia"/>
          <w:sz w:val="32"/>
          <w:szCs w:val="32"/>
          <w:u w:color="000000"/>
        </w:rPr>
        <w:t>。</w:t>
      </w:r>
    </w:p>
    <w:p w:rsidR="00D36435" w:rsidRDefault="00C05A13">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2019</w:t>
      </w:r>
      <w:r>
        <w:rPr>
          <w:rFonts w:ascii="仿宋_GB2312" w:eastAsia="仿宋_GB2312" w:cs="DengXian-Regular" w:hint="eastAsia"/>
          <w:sz w:val="32"/>
          <w:szCs w:val="32"/>
        </w:rPr>
        <w:t>年度</w:t>
      </w:r>
      <w:r>
        <w:rPr>
          <w:rFonts w:ascii="仿宋_GB2312" w:eastAsia="仿宋_GB2312" w:cs="DengXian-Regular" w:hint="eastAsia"/>
          <w:sz w:val="32"/>
          <w:szCs w:val="32"/>
        </w:rPr>
        <w:t>区法</w:t>
      </w:r>
      <w:r>
        <w:rPr>
          <w:rFonts w:ascii="仿宋_GB2312" w:eastAsia="仿宋_GB2312" w:cs="DengXian-Regular" w:hint="eastAsia"/>
          <w:sz w:val="32"/>
          <w:szCs w:val="32"/>
        </w:rPr>
        <w:t>院</w:t>
      </w:r>
      <w:r>
        <w:rPr>
          <w:rFonts w:ascii="仿宋_GB2312" w:eastAsia="仿宋_GB2312" w:hAnsiTheme="minorEastAsia" w:cs="Times New Roman" w:hint="eastAsia"/>
          <w:sz w:val="32"/>
          <w:szCs w:val="32"/>
          <w:u w:color="000000"/>
        </w:rPr>
        <w:t>决算支出为</w:t>
      </w:r>
      <w:r>
        <w:rPr>
          <w:rFonts w:ascii="仿宋_GB2312" w:eastAsia="仿宋_GB2312" w:hAnsiTheme="minorEastAsia" w:cs="Times New Roman"/>
          <w:sz w:val="32"/>
          <w:szCs w:val="32"/>
          <w:u w:color="000000"/>
        </w:rPr>
        <w:t>2451.71</w:t>
      </w:r>
      <w:r>
        <w:rPr>
          <w:rFonts w:ascii="仿宋_GB2312" w:eastAsia="仿宋_GB2312" w:hAnsiTheme="minorEastAsia" w:cs="Times New Roman" w:hint="eastAsia"/>
          <w:sz w:val="32"/>
          <w:szCs w:val="32"/>
          <w:u w:color="000000"/>
        </w:rPr>
        <w:t>万元，其中：基本支出</w:t>
      </w:r>
      <w:r>
        <w:rPr>
          <w:rFonts w:ascii="仿宋_GB2312" w:eastAsia="仿宋_GB2312" w:hAnsiTheme="minorEastAsia" w:cs="Times New Roman" w:hint="eastAsia"/>
          <w:sz w:val="32"/>
          <w:szCs w:val="32"/>
          <w:u w:color="000000"/>
        </w:rPr>
        <w:t>1602.96</w:t>
      </w:r>
      <w:r>
        <w:rPr>
          <w:rFonts w:ascii="仿宋_GB2312" w:eastAsia="仿宋_GB2312" w:hAnsiTheme="minorEastAsia" w:cs="Times New Roman" w:hint="eastAsia"/>
          <w:sz w:val="32"/>
          <w:szCs w:val="32"/>
          <w:u w:color="000000"/>
        </w:rPr>
        <w:t>万元，项目支出</w:t>
      </w:r>
      <w:r>
        <w:rPr>
          <w:rFonts w:ascii="仿宋_GB2312" w:eastAsia="仿宋_GB2312" w:hAnsiTheme="minorEastAsia" w:cs="Times New Roman"/>
          <w:sz w:val="32"/>
          <w:szCs w:val="32"/>
          <w:u w:color="000000"/>
        </w:rPr>
        <w:t>848.75</w:t>
      </w:r>
      <w:r>
        <w:rPr>
          <w:rFonts w:ascii="仿宋_GB2312" w:eastAsia="仿宋_GB2312" w:hAnsiTheme="minorEastAsia" w:cs="Times New Roman" w:hint="eastAsia"/>
          <w:sz w:val="32"/>
          <w:szCs w:val="32"/>
          <w:u w:color="000000"/>
        </w:rPr>
        <w:t>万元。决算支出按功能分类包含：公共安全支出</w:t>
      </w:r>
      <w:r>
        <w:rPr>
          <w:rFonts w:ascii="仿宋_GB2312" w:eastAsia="仿宋_GB2312" w:hAnsiTheme="minorEastAsia" w:cs="Times New Roman"/>
          <w:sz w:val="32"/>
          <w:szCs w:val="32"/>
          <w:u w:color="000000"/>
        </w:rPr>
        <w:t>2093.48</w:t>
      </w:r>
      <w:r>
        <w:rPr>
          <w:rFonts w:ascii="仿宋_GB2312" w:eastAsia="仿宋_GB2312" w:hAnsiTheme="minorEastAsia" w:cs="Times New Roman" w:hint="eastAsia"/>
          <w:sz w:val="32"/>
          <w:szCs w:val="32"/>
          <w:u w:color="000000"/>
        </w:rPr>
        <w:t>万元，占比</w:t>
      </w:r>
      <w:r>
        <w:rPr>
          <w:rFonts w:ascii="仿宋_GB2312" w:eastAsia="仿宋_GB2312" w:hAnsiTheme="minorEastAsia" w:cs="Times New Roman"/>
          <w:sz w:val="32"/>
          <w:szCs w:val="32"/>
          <w:u w:color="000000"/>
        </w:rPr>
        <w:t>85.38</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；社会保障和就业支出</w:t>
      </w:r>
      <w:r>
        <w:rPr>
          <w:rFonts w:ascii="仿宋_GB2312" w:eastAsia="仿宋_GB2312" w:hAnsiTheme="minorEastAsia" w:cs="Times New Roman"/>
          <w:sz w:val="32"/>
          <w:szCs w:val="32"/>
          <w:u w:color="000000"/>
        </w:rPr>
        <w:t>255.68</w:t>
      </w:r>
      <w:r>
        <w:rPr>
          <w:rFonts w:ascii="仿宋_GB2312" w:eastAsia="仿宋_GB2312" w:hAnsiTheme="minorEastAsia" w:cs="Times New Roman" w:hint="eastAsia"/>
          <w:sz w:val="32"/>
          <w:szCs w:val="32"/>
          <w:u w:color="000000"/>
        </w:rPr>
        <w:t>万元，占比</w:t>
      </w:r>
      <w:r>
        <w:rPr>
          <w:rFonts w:ascii="仿宋_GB2312" w:eastAsia="仿宋_GB2312" w:hAnsiTheme="minorEastAsia" w:cs="Times New Roman"/>
          <w:sz w:val="32"/>
          <w:szCs w:val="32"/>
          <w:u w:color="000000"/>
        </w:rPr>
        <w:t>10.43</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；医疗卫生与计划教育支出</w:t>
      </w:r>
      <w:r>
        <w:rPr>
          <w:rFonts w:ascii="仿宋_GB2312" w:eastAsia="仿宋_GB2312" w:hAnsiTheme="minorEastAsia" w:cs="Times New Roman"/>
          <w:sz w:val="32"/>
          <w:szCs w:val="32"/>
          <w:u w:color="000000"/>
        </w:rPr>
        <w:t>34.76</w:t>
      </w:r>
      <w:r>
        <w:rPr>
          <w:rFonts w:ascii="仿宋_GB2312" w:eastAsia="仿宋_GB2312" w:hAnsiTheme="minorEastAsia" w:cs="Times New Roman" w:hint="eastAsia"/>
          <w:sz w:val="32"/>
          <w:szCs w:val="32"/>
          <w:u w:color="000000"/>
        </w:rPr>
        <w:t>万元，占比</w:t>
      </w:r>
      <w:r>
        <w:rPr>
          <w:rFonts w:ascii="仿宋_GB2312" w:eastAsia="仿宋_GB2312" w:hAnsiTheme="minorEastAsia" w:cs="Times New Roman"/>
          <w:sz w:val="32"/>
          <w:szCs w:val="32"/>
          <w:u w:color="000000"/>
        </w:rPr>
        <w:t>1.4</w:t>
      </w:r>
      <w:r>
        <w:rPr>
          <w:rFonts w:ascii="仿宋_GB2312" w:eastAsia="仿宋_GB2312" w:hAnsiTheme="minorEastAsia" w:cs="Times New Roman"/>
          <w:sz w:val="32"/>
          <w:szCs w:val="32"/>
          <w:u w:color="000000"/>
        </w:rPr>
        <w:t>2</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；住房保障支出</w:t>
      </w:r>
      <w:r>
        <w:rPr>
          <w:rFonts w:ascii="仿宋_GB2312" w:eastAsia="仿宋_GB2312" w:hAnsiTheme="minorEastAsia" w:cs="Times New Roman"/>
          <w:sz w:val="32"/>
          <w:szCs w:val="32"/>
          <w:u w:color="000000"/>
        </w:rPr>
        <w:t>67.79</w:t>
      </w:r>
      <w:r>
        <w:rPr>
          <w:rFonts w:ascii="仿宋_GB2312" w:eastAsia="仿宋_GB2312" w:hAnsiTheme="minorEastAsia" w:cs="Times New Roman" w:hint="eastAsia"/>
          <w:sz w:val="32"/>
          <w:szCs w:val="32"/>
          <w:u w:color="000000"/>
        </w:rPr>
        <w:t>万元，占比</w:t>
      </w:r>
      <w:r>
        <w:rPr>
          <w:rFonts w:ascii="仿宋_GB2312" w:eastAsia="仿宋_GB2312" w:hAnsiTheme="minorEastAsia" w:cs="Times New Roman"/>
          <w:sz w:val="32"/>
          <w:szCs w:val="32"/>
          <w:u w:color="000000"/>
        </w:rPr>
        <w:t>2.77</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。具体决算支出详见附件</w:t>
      </w:r>
      <w:r>
        <w:rPr>
          <w:rFonts w:ascii="仿宋_GB2312" w:eastAsia="仿宋_GB2312" w:hAnsiTheme="minorEastAsia" w:cs="Times New Roman" w:hint="eastAsia"/>
          <w:sz w:val="32"/>
          <w:szCs w:val="32"/>
          <w:u w:color="000000"/>
        </w:rPr>
        <w:t>2</w:t>
      </w:r>
      <w:r>
        <w:rPr>
          <w:rFonts w:ascii="仿宋_GB2312" w:eastAsia="仿宋_GB2312" w:hAnsiTheme="minorEastAsia" w:cs="Times New Roman" w:hint="eastAsia"/>
          <w:sz w:val="32"/>
          <w:szCs w:val="32"/>
          <w:u w:color="000000"/>
        </w:rPr>
        <w:t>。</w:t>
      </w:r>
    </w:p>
    <w:p w:rsidR="00D36435" w:rsidRDefault="00C05A13">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决算支出结构如图</w:t>
      </w:r>
      <w:r>
        <w:rPr>
          <w:rFonts w:ascii="仿宋_GB2312" w:eastAsia="仿宋_GB2312" w:hAnsiTheme="minorEastAsia" w:cs="Times New Roman" w:hint="eastAsia"/>
          <w:sz w:val="32"/>
          <w:szCs w:val="32"/>
          <w:u w:color="000000"/>
        </w:rPr>
        <w:t>3</w:t>
      </w:r>
      <w:r>
        <w:rPr>
          <w:rFonts w:ascii="仿宋_GB2312" w:eastAsia="仿宋_GB2312" w:hAnsiTheme="minorEastAsia" w:cs="Times New Roman" w:hint="eastAsia"/>
          <w:sz w:val="32"/>
          <w:szCs w:val="32"/>
          <w:u w:color="000000"/>
        </w:rPr>
        <w:t>。</w:t>
      </w:r>
    </w:p>
    <w:p w:rsidR="00D36435" w:rsidRDefault="00C05A13">
      <w:pPr>
        <w:spacing w:after="0" w:line="360" w:lineRule="auto"/>
        <w:jc w:val="center"/>
        <w:rPr>
          <w:rFonts w:ascii="仿宋_GB2312" w:eastAsia="仿宋_GB2312" w:hAnsiTheme="minorEastAsia" w:cs="Times New Roman"/>
          <w:sz w:val="32"/>
          <w:szCs w:val="32"/>
          <w:u w:color="000000"/>
        </w:rPr>
      </w:pPr>
      <w:r>
        <w:rPr>
          <w:rFonts w:asciiTheme="minorEastAsia" w:eastAsiaTheme="minorEastAsia" w:hAnsiTheme="minorEastAsia" w:cstheme="minorEastAsia" w:hint="eastAsia"/>
          <w:b/>
          <w:bCs/>
          <w:sz w:val="32"/>
          <w:szCs w:val="32"/>
          <w:u w:color="000000"/>
        </w:rPr>
        <w:t>图</w:t>
      </w:r>
      <w:r>
        <w:rPr>
          <w:rFonts w:asciiTheme="minorEastAsia" w:eastAsiaTheme="minorEastAsia" w:hAnsiTheme="minorEastAsia" w:cstheme="minorEastAsia" w:hint="eastAsia"/>
          <w:b/>
          <w:bCs/>
          <w:sz w:val="32"/>
          <w:szCs w:val="32"/>
          <w:u w:color="000000"/>
        </w:rPr>
        <w:t>3  2019</w:t>
      </w:r>
      <w:r>
        <w:rPr>
          <w:rFonts w:asciiTheme="minorEastAsia" w:eastAsiaTheme="minorEastAsia" w:hAnsiTheme="minorEastAsia" w:cstheme="minorEastAsia" w:hint="eastAsia"/>
          <w:b/>
          <w:bCs/>
          <w:sz w:val="32"/>
          <w:szCs w:val="32"/>
          <w:u w:color="000000"/>
        </w:rPr>
        <w:t>年度徐水区</w:t>
      </w:r>
      <w:r>
        <w:rPr>
          <w:rFonts w:asciiTheme="minorEastAsia" w:eastAsiaTheme="minorEastAsia" w:hAnsiTheme="minorEastAsia" w:cstheme="minorEastAsia"/>
          <w:b/>
          <w:bCs/>
          <w:sz w:val="32"/>
          <w:szCs w:val="32"/>
          <w:u w:color="000000"/>
        </w:rPr>
        <w:t>人民法院</w:t>
      </w:r>
      <w:r>
        <w:rPr>
          <w:rFonts w:asciiTheme="minorEastAsia" w:eastAsiaTheme="minorEastAsia" w:hAnsiTheme="minorEastAsia" w:cstheme="minorEastAsia" w:hint="eastAsia"/>
          <w:b/>
          <w:bCs/>
          <w:sz w:val="32"/>
          <w:szCs w:val="32"/>
          <w:u w:color="000000"/>
        </w:rPr>
        <w:t>决算支出结构图</w:t>
      </w:r>
    </w:p>
    <w:p w:rsidR="00D36435" w:rsidRDefault="00C05A13">
      <w:pPr>
        <w:spacing w:after="0" w:line="360" w:lineRule="auto"/>
        <w:ind w:firstLineChars="200" w:firstLine="440"/>
        <w:jc w:val="both"/>
        <w:rPr>
          <w:rFonts w:ascii="仿宋_GB2312" w:eastAsia="仿宋_GB2312" w:cs="DengXian-Regular"/>
          <w:sz w:val="32"/>
          <w:szCs w:val="32"/>
        </w:rPr>
      </w:pPr>
      <w:r>
        <w:rPr>
          <w:noProof/>
        </w:rPr>
        <w:lastRenderedPageBreak/>
        <w:drawing>
          <wp:anchor distT="0" distB="0" distL="90170" distR="90170" simplePos="0" relativeHeight="251658240" behindDoc="0" locked="0" layoutInCell="1" allowOverlap="1">
            <wp:simplePos x="0" y="0"/>
            <wp:positionH relativeFrom="column">
              <wp:posOffset>143510</wp:posOffset>
            </wp:positionH>
            <wp:positionV relativeFrom="paragraph">
              <wp:posOffset>109220</wp:posOffset>
            </wp:positionV>
            <wp:extent cx="4991100" cy="2790825"/>
            <wp:effectExtent l="0" t="0" r="0" b="0"/>
            <wp:wrapSquare wrapText="bothSides"/>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_GB2312" w:eastAsia="仿宋_GB2312" w:cs="DengXian-Regular" w:hint="eastAsia"/>
          <w:sz w:val="32"/>
          <w:szCs w:val="32"/>
        </w:rPr>
        <w:t>财政拨款决算支出比年初预算减少</w:t>
      </w:r>
      <w:r>
        <w:rPr>
          <w:rFonts w:ascii="仿宋_GB2312" w:eastAsia="仿宋_GB2312" w:cs="DengXian-Regular" w:hint="eastAsia"/>
          <w:sz w:val="32"/>
          <w:szCs w:val="32"/>
        </w:rPr>
        <w:t>149.42</w:t>
      </w:r>
      <w:r>
        <w:rPr>
          <w:rFonts w:ascii="仿宋_GB2312" w:eastAsia="仿宋_GB2312" w:cs="DengXian-Regular" w:hint="eastAsia"/>
          <w:sz w:val="32"/>
          <w:szCs w:val="32"/>
        </w:rPr>
        <w:t>万元。决算支出完成年初预算的</w:t>
      </w:r>
      <w:r>
        <w:rPr>
          <w:rFonts w:ascii="仿宋_GB2312" w:eastAsia="仿宋_GB2312" w:cs="DengXian-Regular"/>
          <w:sz w:val="32"/>
          <w:szCs w:val="32"/>
        </w:rPr>
        <w:t>94.25</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hAnsiTheme="minorEastAsia" w:cs="Times New Roman" w:hint="eastAsia"/>
          <w:sz w:val="32"/>
          <w:szCs w:val="32"/>
          <w:u w:color="000000"/>
        </w:rPr>
        <w:t>决算支出小于预算支出的</w:t>
      </w:r>
      <w:r>
        <w:rPr>
          <w:rFonts w:ascii="仿宋_GB2312" w:eastAsia="仿宋_GB2312" w:cs="DengXian-Regular" w:hint="eastAsia"/>
          <w:sz w:val="32"/>
          <w:szCs w:val="32"/>
        </w:rPr>
        <w:t>主要原因为</w:t>
      </w:r>
      <w:r>
        <w:rPr>
          <w:rFonts w:ascii="仿宋_GB2312" w:eastAsia="仿宋_GB2312" w:cs="DengXian-Regular" w:hint="eastAsia"/>
          <w:sz w:val="32"/>
          <w:szCs w:val="32"/>
        </w:rPr>
        <w:t>2019</w:t>
      </w:r>
      <w:r>
        <w:rPr>
          <w:rFonts w:ascii="仿宋_GB2312" w:eastAsia="仿宋_GB2312" w:cs="DengXian-Regular" w:hint="eastAsia"/>
          <w:sz w:val="32"/>
          <w:szCs w:val="32"/>
        </w:rPr>
        <w:t>年度我院</w:t>
      </w:r>
      <w:r>
        <w:rPr>
          <w:rFonts w:ascii="仿宋_GB2312" w:eastAsia="仿宋_GB2312" w:cs="DengXian-Regular"/>
          <w:sz w:val="32"/>
          <w:szCs w:val="32"/>
        </w:rPr>
        <w:t>离退人员增加、</w:t>
      </w:r>
      <w:r>
        <w:rPr>
          <w:rFonts w:ascii="仿宋_GB2312" w:eastAsia="仿宋_GB2312" w:cs="DengXian-Regular" w:hint="eastAsia"/>
          <w:sz w:val="32"/>
          <w:szCs w:val="32"/>
        </w:rPr>
        <w:t>日常</w:t>
      </w:r>
      <w:r>
        <w:rPr>
          <w:rFonts w:ascii="仿宋_GB2312" w:eastAsia="仿宋_GB2312" w:cs="DengXian-Regular"/>
          <w:sz w:val="32"/>
          <w:szCs w:val="32"/>
        </w:rPr>
        <w:t>经费支出</w:t>
      </w:r>
      <w:r>
        <w:rPr>
          <w:rFonts w:ascii="仿宋_GB2312" w:eastAsia="仿宋_GB2312" w:cs="DengXian-Regular" w:hint="eastAsia"/>
          <w:sz w:val="32"/>
          <w:szCs w:val="32"/>
        </w:rPr>
        <w:t>减少。</w:t>
      </w:r>
    </w:p>
    <w:p w:rsidR="00D36435" w:rsidRDefault="00C05A13">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区法</w:t>
      </w:r>
      <w:r>
        <w:rPr>
          <w:rFonts w:ascii="仿宋_GB2312" w:eastAsia="仿宋_GB2312" w:cs="DengXian-Regular" w:hint="eastAsia"/>
          <w:sz w:val="32"/>
          <w:szCs w:val="32"/>
        </w:rPr>
        <w:t>院</w:t>
      </w:r>
      <w:r>
        <w:rPr>
          <w:rFonts w:ascii="仿宋_GB2312" w:eastAsia="仿宋_GB2312" w:cs="DengXian-Regular" w:hint="eastAsia"/>
          <w:sz w:val="32"/>
          <w:szCs w:val="32"/>
        </w:rPr>
        <w:t>2019</w:t>
      </w:r>
      <w:r>
        <w:rPr>
          <w:rFonts w:ascii="仿宋_GB2312" w:eastAsia="仿宋_GB2312" w:cs="DengXian-Regular" w:hint="eastAsia"/>
          <w:sz w:val="32"/>
          <w:szCs w:val="32"/>
        </w:rPr>
        <w:t>年实际项目支出</w:t>
      </w:r>
      <w:r>
        <w:rPr>
          <w:rFonts w:ascii="仿宋_GB2312" w:eastAsia="仿宋_GB2312" w:cs="DengXian-Regular"/>
          <w:sz w:val="32"/>
          <w:szCs w:val="32"/>
        </w:rPr>
        <w:t>848.75</w:t>
      </w:r>
      <w:r>
        <w:rPr>
          <w:rFonts w:ascii="仿宋_GB2312" w:eastAsia="仿宋_GB2312" w:cs="DengXian-Regular" w:hint="eastAsia"/>
          <w:sz w:val="32"/>
          <w:szCs w:val="32"/>
        </w:rPr>
        <w:t>万元，决算报表</w:t>
      </w:r>
      <w:proofErr w:type="gramStart"/>
      <w:r>
        <w:rPr>
          <w:rFonts w:ascii="仿宋_GB2312" w:eastAsia="仿宋_GB2312" w:cs="DengXian-Regular" w:hint="eastAsia"/>
          <w:sz w:val="32"/>
          <w:szCs w:val="32"/>
        </w:rPr>
        <w:t>中项目</w:t>
      </w:r>
      <w:proofErr w:type="gramEnd"/>
      <w:r>
        <w:rPr>
          <w:rFonts w:ascii="仿宋_GB2312" w:eastAsia="仿宋_GB2312" w:cs="DengXian-Regular" w:hint="eastAsia"/>
          <w:sz w:val="32"/>
          <w:szCs w:val="32"/>
        </w:rPr>
        <w:t>支出</w:t>
      </w:r>
      <w:r>
        <w:rPr>
          <w:rFonts w:ascii="仿宋_GB2312" w:eastAsia="仿宋_GB2312" w:cs="DengXian-Regular"/>
          <w:sz w:val="32"/>
          <w:szCs w:val="32"/>
        </w:rPr>
        <w:t>848.75</w:t>
      </w:r>
      <w:r>
        <w:rPr>
          <w:rFonts w:ascii="仿宋_GB2312" w:eastAsia="仿宋_GB2312" w:cs="DengXian-Regular" w:hint="eastAsia"/>
          <w:sz w:val="32"/>
          <w:szCs w:val="32"/>
        </w:rPr>
        <w:t>万元，实际支出与决算报表差</w:t>
      </w:r>
      <w:r>
        <w:rPr>
          <w:rFonts w:ascii="仿宋_GB2312" w:eastAsia="仿宋_GB2312" w:cs="DengXian-Regular"/>
          <w:sz w:val="32"/>
          <w:szCs w:val="32"/>
        </w:rPr>
        <w:t>0</w:t>
      </w:r>
      <w:r>
        <w:rPr>
          <w:rFonts w:ascii="仿宋_GB2312" w:eastAsia="仿宋_GB2312" w:cs="DengXian-Regular" w:hint="eastAsia"/>
          <w:sz w:val="32"/>
          <w:szCs w:val="32"/>
        </w:rPr>
        <w:t>万元。</w:t>
      </w:r>
    </w:p>
    <w:p w:rsidR="00D36435" w:rsidRDefault="00C05A13">
      <w:pPr>
        <w:pStyle w:val="3"/>
        <w:spacing w:before="0" w:after="0"/>
        <w:ind w:firstLineChars="200" w:firstLine="643"/>
        <w:jc w:val="both"/>
        <w:rPr>
          <w:rFonts w:ascii="仿宋_GB2312" w:hAnsi="Tahoma" w:cs="DengXian-Regular"/>
          <w:sz w:val="32"/>
        </w:rPr>
      </w:pPr>
      <w:bookmarkStart w:id="13" w:name="_Toc492652769"/>
      <w:bookmarkStart w:id="14" w:name="_Toc465149503"/>
      <w:bookmarkStart w:id="15" w:name="_Toc19291"/>
      <w:r>
        <w:rPr>
          <w:rFonts w:ascii="仿宋_GB2312" w:hAnsi="Tahoma" w:cs="DengXian-Regular" w:hint="eastAsia"/>
          <w:sz w:val="32"/>
        </w:rPr>
        <w:t>（五）“三公”经费预算安排及支出情况</w:t>
      </w:r>
      <w:bookmarkEnd w:id="13"/>
      <w:bookmarkEnd w:id="14"/>
      <w:bookmarkEnd w:id="15"/>
    </w:p>
    <w:p w:rsidR="00D36435" w:rsidRDefault="00C05A13">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2019</w:t>
      </w:r>
      <w:r>
        <w:rPr>
          <w:rFonts w:ascii="仿宋_GB2312" w:eastAsia="仿宋_GB2312" w:cs="DengXian-Regular" w:hint="eastAsia"/>
          <w:sz w:val="32"/>
          <w:szCs w:val="32"/>
        </w:rPr>
        <w:t>年</w:t>
      </w:r>
      <w:r>
        <w:rPr>
          <w:rFonts w:ascii="仿宋_GB2312" w:eastAsia="仿宋_GB2312" w:cs="DengXian-Regular" w:hint="eastAsia"/>
          <w:sz w:val="32"/>
          <w:szCs w:val="32"/>
        </w:rPr>
        <w:t>区法</w:t>
      </w:r>
      <w:r>
        <w:rPr>
          <w:rFonts w:ascii="仿宋_GB2312" w:eastAsia="仿宋_GB2312" w:cs="DengXian-Regular" w:hint="eastAsia"/>
          <w:sz w:val="32"/>
          <w:szCs w:val="32"/>
        </w:rPr>
        <w:t>院“三公”经费预算</w:t>
      </w:r>
      <w:r>
        <w:rPr>
          <w:rFonts w:ascii="仿宋_GB2312" w:eastAsia="仿宋_GB2312" w:cs="DengXian-Regular"/>
          <w:sz w:val="32"/>
          <w:szCs w:val="32"/>
        </w:rPr>
        <w:t>58.09</w:t>
      </w:r>
      <w:r>
        <w:rPr>
          <w:rFonts w:ascii="仿宋_GB2312" w:eastAsia="仿宋_GB2312" w:cs="DengXian-Regular" w:hint="eastAsia"/>
          <w:sz w:val="32"/>
          <w:szCs w:val="32"/>
        </w:rPr>
        <w:t>万元（公务用车运行维护费</w:t>
      </w:r>
      <w:r>
        <w:rPr>
          <w:rFonts w:ascii="仿宋_GB2312" w:eastAsia="仿宋_GB2312" w:cs="DengXian-Regular"/>
          <w:sz w:val="32"/>
          <w:szCs w:val="32"/>
        </w:rPr>
        <w:t>53.99</w:t>
      </w:r>
      <w:r>
        <w:rPr>
          <w:rFonts w:ascii="仿宋_GB2312" w:eastAsia="仿宋_GB2312" w:cs="DengXian-Regular" w:hint="eastAsia"/>
          <w:sz w:val="32"/>
          <w:szCs w:val="32"/>
        </w:rPr>
        <w:t>万元，公务接待费</w:t>
      </w:r>
      <w:r>
        <w:rPr>
          <w:rFonts w:ascii="仿宋_GB2312" w:eastAsia="仿宋_GB2312" w:cs="DengXian-Regular"/>
          <w:sz w:val="32"/>
          <w:szCs w:val="32"/>
        </w:rPr>
        <w:t>4.1</w:t>
      </w:r>
      <w:r>
        <w:rPr>
          <w:rFonts w:ascii="仿宋_GB2312" w:eastAsia="仿宋_GB2312" w:cs="DengXian-Regular" w:hint="eastAsia"/>
          <w:sz w:val="32"/>
          <w:szCs w:val="32"/>
        </w:rPr>
        <w:t>万元），实际支出</w:t>
      </w:r>
      <w:r>
        <w:rPr>
          <w:rFonts w:ascii="仿宋_GB2312" w:eastAsia="仿宋_GB2312" w:cs="DengXian-Regular"/>
          <w:sz w:val="32"/>
          <w:szCs w:val="32"/>
        </w:rPr>
        <w:t>43.09</w:t>
      </w:r>
      <w:r>
        <w:rPr>
          <w:rFonts w:ascii="仿宋_GB2312" w:eastAsia="仿宋_GB2312" w:cs="DengXian-Regular" w:hint="eastAsia"/>
          <w:sz w:val="32"/>
          <w:szCs w:val="32"/>
        </w:rPr>
        <w:t>万元（公务用车运行维护费</w:t>
      </w:r>
      <w:r>
        <w:rPr>
          <w:rFonts w:ascii="仿宋_GB2312" w:eastAsia="仿宋_GB2312" w:cs="DengXian-Regular"/>
          <w:sz w:val="32"/>
          <w:szCs w:val="32"/>
        </w:rPr>
        <w:t>42.49</w:t>
      </w:r>
      <w:r>
        <w:rPr>
          <w:rFonts w:ascii="仿宋_GB2312" w:eastAsia="仿宋_GB2312" w:cs="DengXian-Regular" w:hint="eastAsia"/>
          <w:sz w:val="32"/>
          <w:szCs w:val="32"/>
        </w:rPr>
        <w:t>万元，公务接待费</w:t>
      </w:r>
      <w:r>
        <w:rPr>
          <w:rFonts w:ascii="仿宋_GB2312" w:eastAsia="仿宋_GB2312" w:cs="DengXian-Regular"/>
          <w:sz w:val="32"/>
          <w:szCs w:val="32"/>
        </w:rPr>
        <w:t>0.6</w:t>
      </w:r>
      <w:r>
        <w:rPr>
          <w:rFonts w:ascii="仿宋_GB2312" w:eastAsia="仿宋_GB2312" w:cs="DengXian-Regular" w:hint="eastAsia"/>
          <w:sz w:val="32"/>
          <w:szCs w:val="32"/>
        </w:rPr>
        <w:t>万元），比预算减少</w:t>
      </w:r>
      <w:r>
        <w:rPr>
          <w:rFonts w:ascii="仿宋_GB2312" w:eastAsia="仿宋_GB2312" w:cs="DengXian-Regular"/>
          <w:sz w:val="32"/>
          <w:szCs w:val="32"/>
        </w:rPr>
        <w:t>15.6</w:t>
      </w:r>
      <w:r>
        <w:rPr>
          <w:rFonts w:ascii="仿宋_GB2312" w:eastAsia="仿宋_GB2312" w:cs="DengXian-Regular" w:hint="eastAsia"/>
          <w:sz w:val="32"/>
          <w:szCs w:val="32"/>
        </w:rPr>
        <w:t>万元，节约率</w:t>
      </w:r>
      <w:r>
        <w:rPr>
          <w:rFonts w:ascii="仿宋_GB2312" w:eastAsia="仿宋_GB2312" w:cs="DengXian-Regular"/>
          <w:sz w:val="32"/>
          <w:szCs w:val="32"/>
        </w:rPr>
        <w:t>26.85</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hint="eastAsia"/>
          <w:sz w:val="32"/>
          <w:szCs w:val="32"/>
        </w:rPr>
        <w:t>2019</w:t>
      </w:r>
      <w:r>
        <w:rPr>
          <w:rFonts w:ascii="仿宋_GB2312" w:eastAsia="仿宋_GB2312" w:cs="DengXian-Regular" w:hint="eastAsia"/>
          <w:sz w:val="32"/>
          <w:szCs w:val="32"/>
        </w:rPr>
        <w:t>年“三公”经费预算数与</w:t>
      </w:r>
      <w:r>
        <w:rPr>
          <w:rFonts w:ascii="仿宋_GB2312" w:eastAsia="仿宋_GB2312" w:cs="DengXian-Regular" w:hint="eastAsia"/>
          <w:sz w:val="32"/>
          <w:szCs w:val="32"/>
        </w:rPr>
        <w:t>2018</w:t>
      </w:r>
      <w:r>
        <w:rPr>
          <w:rFonts w:ascii="仿宋_GB2312" w:eastAsia="仿宋_GB2312" w:cs="DengXian-Regular" w:hint="eastAsia"/>
          <w:sz w:val="32"/>
          <w:szCs w:val="32"/>
        </w:rPr>
        <w:t>年预算数相比有所增加。决算数与</w:t>
      </w:r>
      <w:r>
        <w:rPr>
          <w:rFonts w:ascii="仿宋_GB2312" w:eastAsia="仿宋_GB2312" w:cs="DengXian-Regular" w:hint="eastAsia"/>
          <w:sz w:val="32"/>
          <w:szCs w:val="32"/>
        </w:rPr>
        <w:t>2018</w:t>
      </w:r>
      <w:r>
        <w:rPr>
          <w:rFonts w:ascii="仿宋_GB2312" w:eastAsia="仿宋_GB2312" w:cs="DengXian-Regular" w:hint="eastAsia"/>
          <w:sz w:val="32"/>
          <w:szCs w:val="32"/>
        </w:rPr>
        <w:t>年实际支出相比，增加</w:t>
      </w:r>
      <w:r>
        <w:rPr>
          <w:rFonts w:ascii="仿宋_GB2312" w:eastAsia="仿宋_GB2312" w:cs="DengXian-Regular"/>
          <w:sz w:val="32"/>
          <w:szCs w:val="32"/>
        </w:rPr>
        <w:t>39.8</w:t>
      </w:r>
      <w:r>
        <w:rPr>
          <w:rFonts w:ascii="仿宋_GB2312" w:eastAsia="仿宋_GB2312" w:cs="DengXian-Regular" w:hint="eastAsia"/>
          <w:sz w:val="32"/>
          <w:szCs w:val="32"/>
        </w:rPr>
        <w:t>万元。具体详见表</w:t>
      </w:r>
      <w:r>
        <w:rPr>
          <w:rFonts w:ascii="仿宋_GB2312" w:eastAsia="仿宋_GB2312" w:cs="DengXian-Regular" w:hint="eastAsia"/>
          <w:sz w:val="32"/>
          <w:szCs w:val="32"/>
        </w:rPr>
        <w:t>1</w:t>
      </w:r>
      <w:r>
        <w:rPr>
          <w:rFonts w:ascii="仿宋_GB2312" w:eastAsia="仿宋_GB2312" w:cs="DengXian-Regular" w:hint="eastAsia"/>
          <w:sz w:val="32"/>
          <w:szCs w:val="32"/>
        </w:rPr>
        <w:t>。</w:t>
      </w:r>
    </w:p>
    <w:p w:rsidR="00D36435" w:rsidRDefault="00C05A13">
      <w:pPr>
        <w:spacing w:after="0" w:line="360" w:lineRule="auto"/>
        <w:ind w:firstLineChars="200" w:firstLine="643"/>
        <w:jc w:val="both"/>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w:t>
      </w:r>
      <w:r>
        <w:rPr>
          <w:rFonts w:asciiTheme="minorEastAsia" w:eastAsiaTheme="minorEastAsia" w:hAnsiTheme="minorEastAsia" w:cstheme="minorEastAsia" w:hint="eastAsia"/>
          <w:b/>
          <w:bCs/>
          <w:sz w:val="32"/>
          <w:szCs w:val="32"/>
        </w:rPr>
        <w:t xml:space="preserve">1  </w:t>
      </w:r>
      <w:r>
        <w:rPr>
          <w:rFonts w:asciiTheme="minorEastAsia" w:eastAsiaTheme="minorEastAsia" w:hAnsiTheme="minorEastAsia" w:cstheme="minorEastAsia" w:hint="eastAsia"/>
          <w:b/>
          <w:bCs/>
          <w:sz w:val="32"/>
          <w:szCs w:val="32"/>
        </w:rPr>
        <w:t>区</w:t>
      </w:r>
      <w:r>
        <w:rPr>
          <w:rFonts w:asciiTheme="minorEastAsia" w:eastAsiaTheme="minorEastAsia" w:hAnsiTheme="minorEastAsia" w:cstheme="minorEastAsia" w:hint="eastAsia"/>
          <w:b/>
          <w:bCs/>
          <w:sz w:val="32"/>
          <w:szCs w:val="32"/>
        </w:rPr>
        <w:t>法院</w:t>
      </w:r>
      <w:r>
        <w:rPr>
          <w:rFonts w:asciiTheme="minorEastAsia" w:eastAsiaTheme="minorEastAsia" w:hAnsiTheme="minorEastAsia" w:cstheme="minorEastAsia" w:hint="eastAsia"/>
          <w:b/>
          <w:bCs/>
          <w:sz w:val="32"/>
          <w:szCs w:val="32"/>
        </w:rPr>
        <w:t>“三公”经费预算及决算明细表</w:t>
      </w:r>
    </w:p>
    <w:p w:rsidR="00D36435" w:rsidRDefault="00C05A13">
      <w:pPr>
        <w:spacing w:after="0" w:line="540" w:lineRule="exact"/>
        <w:ind w:firstLineChars="200" w:firstLine="640"/>
        <w:jc w:val="both"/>
        <w:rPr>
          <w:rFonts w:asciiTheme="minorEastAsia" w:eastAsiaTheme="minorEastAsia" w:hAnsiTheme="minorEastAsia" w:cstheme="minorEastAsia"/>
          <w:sz w:val="21"/>
          <w:szCs w:val="21"/>
        </w:rPr>
      </w:pPr>
      <w:r>
        <w:rPr>
          <w:rFonts w:ascii="仿宋_GB2312" w:eastAsia="仿宋_GB2312" w:cs="DengXian-Regular" w:hint="eastAsia"/>
          <w:sz w:val="32"/>
          <w:szCs w:val="32"/>
        </w:rPr>
        <w:t xml:space="preserve">                                         </w:t>
      </w:r>
      <w:r>
        <w:rPr>
          <w:rFonts w:asciiTheme="minorEastAsia" w:eastAsiaTheme="minorEastAsia" w:hAnsiTheme="minorEastAsia" w:cstheme="minorEastAsia" w:hint="eastAsia"/>
          <w:sz w:val="21"/>
          <w:szCs w:val="21"/>
        </w:rPr>
        <w:t>单位：万元</w:t>
      </w:r>
    </w:p>
    <w:tbl>
      <w:tblPr>
        <w:tblW w:w="8565" w:type="dxa"/>
        <w:tblLayout w:type="fixed"/>
        <w:tblCellMar>
          <w:left w:w="0" w:type="dxa"/>
          <w:right w:w="0" w:type="dxa"/>
        </w:tblCellMar>
        <w:tblLook w:val="04A0" w:firstRow="1" w:lastRow="0" w:firstColumn="1" w:lastColumn="0" w:noHBand="0" w:noVBand="1"/>
      </w:tblPr>
      <w:tblGrid>
        <w:gridCol w:w="549"/>
        <w:gridCol w:w="1818"/>
        <w:gridCol w:w="993"/>
        <w:gridCol w:w="932"/>
        <w:gridCol w:w="1022"/>
        <w:gridCol w:w="947"/>
        <w:gridCol w:w="1149"/>
        <w:gridCol w:w="1155"/>
      </w:tblGrid>
      <w:tr w:rsidR="00D36435">
        <w:trPr>
          <w:trHeight w:val="454"/>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36435" w:rsidRDefault="00C05A13">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lastRenderedPageBreak/>
              <w:t>序号</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36435" w:rsidRDefault="00C05A13">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支出内容</w:t>
            </w:r>
          </w:p>
        </w:tc>
        <w:tc>
          <w:tcPr>
            <w:tcW w:w="192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36435" w:rsidRDefault="00C05A13">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2018</w:t>
            </w:r>
            <w:r>
              <w:rPr>
                <w:rFonts w:ascii="宋体" w:eastAsia="宋体" w:hAnsi="宋体" w:cs="宋体" w:hint="eastAsia"/>
                <w:b/>
                <w:bCs/>
                <w:color w:val="000000"/>
                <w:sz w:val="21"/>
                <w:szCs w:val="21"/>
              </w:rPr>
              <w:t>年</w:t>
            </w:r>
          </w:p>
        </w:tc>
        <w:tc>
          <w:tcPr>
            <w:tcW w:w="1969" w:type="dxa"/>
            <w:gridSpan w:val="2"/>
            <w:tcBorders>
              <w:top w:val="single" w:sz="4" w:space="0" w:color="000000"/>
              <w:left w:val="single" w:sz="4" w:space="0" w:color="auto"/>
              <w:bottom w:val="single" w:sz="4" w:space="0" w:color="000000"/>
              <w:right w:val="nil"/>
            </w:tcBorders>
            <w:shd w:val="clear" w:color="auto" w:fill="auto"/>
            <w:tcMar>
              <w:top w:w="15" w:type="dxa"/>
              <w:left w:w="15" w:type="dxa"/>
              <w:right w:w="15" w:type="dxa"/>
            </w:tcMar>
            <w:vAlign w:val="center"/>
          </w:tcPr>
          <w:p w:rsidR="00D36435" w:rsidRDefault="00C05A13">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2019</w:t>
            </w:r>
            <w:r>
              <w:rPr>
                <w:rFonts w:ascii="宋体" w:eastAsia="宋体" w:hAnsi="宋体" w:cs="宋体" w:hint="eastAsia"/>
                <w:b/>
                <w:bCs/>
                <w:color w:val="000000"/>
                <w:sz w:val="21"/>
                <w:szCs w:val="21"/>
              </w:rPr>
              <w:t>年</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6435" w:rsidRDefault="00C05A13">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环比情况</w:t>
            </w:r>
          </w:p>
        </w:tc>
      </w:tr>
      <w:tr w:rsidR="00D36435">
        <w:trPr>
          <w:trHeight w:val="454"/>
        </w:trPr>
        <w:tc>
          <w:tcPr>
            <w:tcW w:w="549"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36435" w:rsidRDefault="00D36435">
            <w:pPr>
              <w:spacing w:after="0"/>
              <w:ind w:firstLineChars="200" w:firstLine="422"/>
              <w:jc w:val="center"/>
              <w:rPr>
                <w:rFonts w:ascii="宋体" w:eastAsia="宋体" w:hAnsi="宋体" w:cs="宋体"/>
                <w:b/>
                <w:bCs/>
                <w:color w:val="000000"/>
                <w:sz w:val="21"/>
                <w:szCs w:val="21"/>
              </w:rPr>
            </w:pPr>
          </w:p>
        </w:tc>
        <w:tc>
          <w:tcPr>
            <w:tcW w:w="1818"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36435" w:rsidRDefault="00D36435">
            <w:pPr>
              <w:spacing w:after="0"/>
              <w:ind w:firstLineChars="200" w:firstLine="422"/>
              <w:jc w:val="center"/>
              <w:rPr>
                <w:rFonts w:ascii="宋体" w:eastAsia="宋体" w:hAnsi="宋体" w:cs="宋体"/>
                <w:b/>
                <w:bCs/>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36435" w:rsidRDefault="00C05A13">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32"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D36435" w:rsidRDefault="00C05A13">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02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D36435" w:rsidRDefault="00C05A13">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D36435" w:rsidRDefault="00C05A13">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14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D36435" w:rsidRDefault="00C05A13">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较上年预算增减金额</w:t>
            </w:r>
          </w:p>
        </w:tc>
        <w:tc>
          <w:tcPr>
            <w:tcW w:w="11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D36435" w:rsidRDefault="00C05A13">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较上年支出增减金额</w:t>
            </w:r>
          </w:p>
        </w:tc>
      </w:tr>
      <w:tr w:rsidR="00D36435">
        <w:trPr>
          <w:trHeight w:val="454"/>
        </w:trPr>
        <w:tc>
          <w:tcPr>
            <w:tcW w:w="549"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6435" w:rsidRDefault="00C05A1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p>
        </w:tc>
        <w:tc>
          <w:tcPr>
            <w:tcW w:w="1818"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D36435" w:rsidRDefault="00C05A1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因公出国（境）费</w:t>
            </w:r>
          </w:p>
        </w:tc>
        <w:tc>
          <w:tcPr>
            <w:tcW w:w="993"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6435" w:rsidRDefault="00D36435">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6435" w:rsidRDefault="00D36435">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6435" w:rsidRDefault="00D36435">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9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36435" w:rsidRDefault="00D36435">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36435" w:rsidRDefault="00D36435">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36435" w:rsidRDefault="00D36435">
            <w:pPr>
              <w:spacing w:after="0"/>
              <w:ind w:firstLineChars="200" w:firstLine="420"/>
              <w:jc w:val="center"/>
              <w:textAlignment w:val="center"/>
              <w:rPr>
                <w:rFonts w:asciiTheme="minorEastAsia" w:eastAsiaTheme="minorEastAsia" w:hAnsiTheme="minorEastAsia" w:cstheme="minorEastAsia"/>
                <w:color w:val="000000"/>
                <w:sz w:val="21"/>
                <w:szCs w:val="21"/>
              </w:rPr>
            </w:pPr>
          </w:p>
        </w:tc>
      </w:tr>
      <w:tr w:rsidR="00D36435">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6435" w:rsidRDefault="00C05A1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36435" w:rsidRDefault="00C05A1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公务用车购置及运维费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6435" w:rsidRDefault="00C05A1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6435" w:rsidRDefault="00C05A1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6435" w:rsidRDefault="00C05A1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53.99</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6435" w:rsidRDefault="00C05A1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42.49</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36435" w:rsidRDefault="00C05A13">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50.99</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36435" w:rsidRDefault="00C05A1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39.49</w:t>
            </w:r>
          </w:p>
        </w:tc>
      </w:tr>
      <w:tr w:rsidR="00D36435">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6435" w:rsidRDefault="00C05A1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6435" w:rsidRDefault="00C05A1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公务接待费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6435" w:rsidRDefault="00C05A1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4.1</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6435" w:rsidRDefault="00C05A13">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0.25</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6435" w:rsidRDefault="00C05A1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4.1</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6435" w:rsidRDefault="00C05A1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36435" w:rsidRDefault="00C05A13">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36435" w:rsidRDefault="00C05A1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0.35</w:t>
            </w:r>
          </w:p>
        </w:tc>
      </w:tr>
      <w:tr w:rsidR="00D36435">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6435" w:rsidRDefault="00C05A1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36435" w:rsidRDefault="00C05A1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合计</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6435" w:rsidRDefault="00C05A1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7.1</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6435" w:rsidRDefault="00C05A1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3.25</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6435" w:rsidRDefault="00C05A1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58.09</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36435" w:rsidRDefault="00C05A1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43.09</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36435" w:rsidRDefault="00C05A13">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50.99</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36435" w:rsidRDefault="00C05A1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39.49</w:t>
            </w:r>
          </w:p>
        </w:tc>
      </w:tr>
    </w:tbl>
    <w:p w:rsidR="00D36435" w:rsidRDefault="00C05A13">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、公务用车：</w:t>
      </w:r>
      <w:r>
        <w:rPr>
          <w:rFonts w:ascii="仿宋_GB2312" w:eastAsia="仿宋_GB2312" w:cs="DengXian-Regular" w:hint="eastAsia"/>
          <w:sz w:val="32"/>
          <w:szCs w:val="32"/>
        </w:rPr>
        <w:t>2019</w:t>
      </w:r>
      <w:r>
        <w:rPr>
          <w:rFonts w:ascii="仿宋_GB2312" w:eastAsia="仿宋_GB2312" w:cs="DengXian-Regular" w:hint="eastAsia"/>
          <w:sz w:val="32"/>
          <w:szCs w:val="32"/>
        </w:rPr>
        <w:t>年底我院车辆合计</w:t>
      </w:r>
      <w:r>
        <w:rPr>
          <w:rFonts w:ascii="仿宋_GB2312" w:eastAsia="仿宋_GB2312" w:cs="DengXian-Regular"/>
          <w:sz w:val="32"/>
          <w:szCs w:val="32"/>
        </w:rPr>
        <w:t>15</w:t>
      </w:r>
      <w:r>
        <w:rPr>
          <w:rFonts w:ascii="仿宋_GB2312" w:eastAsia="仿宋_GB2312" w:cs="DengXian-Regular" w:hint="eastAsia"/>
          <w:sz w:val="32"/>
          <w:szCs w:val="32"/>
        </w:rPr>
        <w:t>辆，其中执法执勤用车</w:t>
      </w:r>
      <w:r>
        <w:rPr>
          <w:rFonts w:ascii="仿宋_GB2312" w:eastAsia="仿宋_GB2312" w:cs="DengXian-Regular"/>
          <w:sz w:val="32"/>
          <w:szCs w:val="32"/>
        </w:rPr>
        <w:t>13</w:t>
      </w:r>
      <w:r>
        <w:rPr>
          <w:rFonts w:ascii="仿宋_GB2312" w:eastAsia="仿宋_GB2312" w:cs="DengXian-Regular" w:hint="eastAsia"/>
          <w:sz w:val="32"/>
          <w:szCs w:val="32"/>
        </w:rPr>
        <w:t>辆，一般公务用车</w:t>
      </w:r>
      <w:r>
        <w:rPr>
          <w:rFonts w:ascii="仿宋_GB2312" w:eastAsia="仿宋_GB2312" w:cs="DengXian-Regular"/>
          <w:sz w:val="32"/>
          <w:szCs w:val="32"/>
        </w:rPr>
        <w:t>2</w:t>
      </w:r>
      <w:r>
        <w:rPr>
          <w:rFonts w:ascii="仿宋_GB2312" w:eastAsia="仿宋_GB2312" w:cs="DengXian-Regular" w:hint="eastAsia"/>
          <w:sz w:val="32"/>
          <w:szCs w:val="32"/>
        </w:rPr>
        <w:t>辆。</w:t>
      </w:r>
      <w:r>
        <w:rPr>
          <w:rFonts w:ascii="仿宋_GB2312" w:eastAsia="仿宋_GB2312" w:cs="DengXian-Regular" w:hint="eastAsia"/>
          <w:sz w:val="32"/>
          <w:szCs w:val="32"/>
        </w:rPr>
        <w:t>2019</w:t>
      </w:r>
      <w:r>
        <w:rPr>
          <w:rFonts w:ascii="仿宋_GB2312" w:eastAsia="仿宋_GB2312" w:cs="DengXian-Regular" w:hint="eastAsia"/>
          <w:sz w:val="32"/>
          <w:szCs w:val="32"/>
        </w:rPr>
        <w:t>年公务用车购置及运维费预算</w:t>
      </w:r>
      <w:r>
        <w:rPr>
          <w:rFonts w:ascii="仿宋_GB2312" w:eastAsia="仿宋_GB2312" w:cs="DengXian-Regular"/>
          <w:sz w:val="32"/>
          <w:szCs w:val="32"/>
        </w:rPr>
        <w:t>53.99</w:t>
      </w:r>
      <w:r>
        <w:rPr>
          <w:rFonts w:ascii="仿宋_GB2312" w:eastAsia="仿宋_GB2312" w:cs="DengXian-Regular" w:hint="eastAsia"/>
          <w:sz w:val="32"/>
          <w:szCs w:val="32"/>
        </w:rPr>
        <w:t>万元，全部为公务用车运行维护费，实际支出</w:t>
      </w:r>
      <w:r>
        <w:rPr>
          <w:rFonts w:ascii="仿宋_GB2312" w:eastAsia="仿宋_GB2312" w:cs="DengXian-Regular"/>
          <w:sz w:val="32"/>
          <w:szCs w:val="32"/>
        </w:rPr>
        <w:t>42.49</w:t>
      </w:r>
      <w:r>
        <w:rPr>
          <w:rFonts w:ascii="仿宋_GB2312" w:eastAsia="仿宋_GB2312" w:cs="DengXian-Regular" w:hint="eastAsia"/>
          <w:sz w:val="32"/>
          <w:szCs w:val="32"/>
        </w:rPr>
        <w:t>万元，比预算减少</w:t>
      </w:r>
      <w:r>
        <w:rPr>
          <w:rFonts w:ascii="仿宋_GB2312" w:eastAsia="仿宋_GB2312" w:cs="DengXian-Regular"/>
          <w:sz w:val="32"/>
          <w:szCs w:val="32"/>
        </w:rPr>
        <w:t>15.6</w:t>
      </w:r>
      <w:r>
        <w:rPr>
          <w:rFonts w:ascii="仿宋_GB2312" w:eastAsia="仿宋_GB2312" w:cs="DengXian-Regular" w:hint="eastAsia"/>
          <w:sz w:val="32"/>
          <w:szCs w:val="32"/>
        </w:rPr>
        <w:t>万元，节约率</w:t>
      </w:r>
      <w:r>
        <w:rPr>
          <w:rFonts w:ascii="仿宋_GB2312" w:eastAsia="仿宋_GB2312" w:cs="DengXian-Regular"/>
          <w:sz w:val="32"/>
          <w:szCs w:val="32"/>
        </w:rPr>
        <w:t>26.85</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hint="eastAsia"/>
          <w:sz w:val="32"/>
          <w:szCs w:val="32"/>
        </w:rPr>
        <w:t>2019</w:t>
      </w:r>
      <w:r>
        <w:rPr>
          <w:rFonts w:ascii="仿宋_GB2312" w:eastAsia="仿宋_GB2312" w:cs="DengXian-Regular" w:hint="eastAsia"/>
          <w:sz w:val="32"/>
          <w:szCs w:val="32"/>
        </w:rPr>
        <w:t>年预算数与</w:t>
      </w:r>
      <w:r>
        <w:rPr>
          <w:rFonts w:ascii="仿宋_GB2312" w:eastAsia="仿宋_GB2312" w:cs="DengXian-Regular" w:hint="eastAsia"/>
          <w:sz w:val="32"/>
          <w:szCs w:val="32"/>
        </w:rPr>
        <w:t>2018</w:t>
      </w:r>
      <w:r>
        <w:rPr>
          <w:rFonts w:ascii="仿宋_GB2312" w:eastAsia="仿宋_GB2312" w:cs="DengXian-Regular" w:hint="eastAsia"/>
          <w:sz w:val="32"/>
          <w:szCs w:val="32"/>
        </w:rPr>
        <w:t>年预算相比有所增加，决算数与</w:t>
      </w:r>
      <w:r>
        <w:rPr>
          <w:rFonts w:ascii="仿宋_GB2312" w:eastAsia="仿宋_GB2312" w:cs="DengXian-Regular" w:hint="eastAsia"/>
          <w:sz w:val="32"/>
          <w:szCs w:val="32"/>
        </w:rPr>
        <w:t>2018</w:t>
      </w:r>
      <w:r>
        <w:rPr>
          <w:rFonts w:ascii="仿宋_GB2312" w:eastAsia="仿宋_GB2312" w:cs="DengXian-Regular" w:hint="eastAsia"/>
          <w:sz w:val="32"/>
          <w:szCs w:val="32"/>
        </w:rPr>
        <w:t>年实际支出相比，增加</w:t>
      </w:r>
      <w:r>
        <w:rPr>
          <w:rFonts w:ascii="仿宋_GB2312" w:eastAsia="仿宋_GB2312" w:cs="DengXian-Regular" w:hint="eastAsia"/>
          <w:sz w:val="32"/>
          <w:szCs w:val="32"/>
        </w:rPr>
        <w:t>39.8</w:t>
      </w:r>
      <w:r>
        <w:rPr>
          <w:rFonts w:ascii="仿宋_GB2312" w:eastAsia="仿宋_GB2312" w:cs="DengXian-Regular" w:hint="eastAsia"/>
          <w:sz w:val="32"/>
          <w:szCs w:val="32"/>
        </w:rPr>
        <w:t>万元。</w:t>
      </w:r>
    </w:p>
    <w:p w:rsidR="00D36435" w:rsidRDefault="00C05A13">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、公务接待：</w:t>
      </w:r>
      <w:r>
        <w:rPr>
          <w:rFonts w:ascii="仿宋_GB2312" w:eastAsia="仿宋_GB2312" w:cs="DengXian-Regular" w:hint="eastAsia"/>
          <w:sz w:val="32"/>
          <w:szCs w:val="32"/>
        </w:rPr>
        <w:t>2019</w:t>
      </w:r>
      <w:r>
        <w:rPr>
          <w:rFonts w:ascii="仿宋_GB2312" w:eastAsia="仿宋_GB2312" w:cs="DengXian-Regular" w:hint="eastAsia"/>
          <w:sz w:val="32"/>
          <w:szCs w:val="32"/>
        </w:rPr>
        <w:t>年我</w:t>
      </w:r>
      <w:r>
        <w:rPr>
          <w:rFonts w:ascii="仿宋_GB2312" w:eastAsia="仿宋_GB2312" w:cs="DengXian-Regular"/>
          <w:sz w:val="32"/>
          <w:szCs w:val="32"/>
        </w:rPr>
        <w:t>院</w:t>
      </w:r>
      <w:r>
        <w:rPr>
          <w:rFonts w:ascii="仿宋_GB2312" w:eastAsia="仿宋_GB2312" w:cs="DengXian-Regular" w:hint="eastAsia"/>
          <w:sz w:val="32"/>
          <w:szCs w:val="32"/>
        </w:rPr>
        <w:t>公务接待费年初预算</w:t>
      </w:r>
      <w:r>
        <w:rPr>
          <w:rFonts w:ascii="仿宋_GB2312" w:eastAsia="仿宋_GB2312" w:cs="DengXian-Regular"/>
          <w:sz w:val="32"/>
          <w:szCs w:val="32"/>
        </w:rPr>
        <w:t>4.1</w:t>
      </w:r>
      <w:r>
        <w:rPr>
          <w:rFonts w:ascii="仿宋_GB2312" w:eastAsia="仿宋_GB2312" w:cs="DengXian-Regular" w:hint="eastAsia"/>
          <w:sz w:val="32"/>
          <w:szCs w:val="32"/>
        </w:rPr>
        <w:t>万元，实际支出</w:t>
      </w:r>
      <w:r>
        <w:rPr>
          <w:rFonts w:ascii="仿宋_GB2312" w:eastAsia="仿宋_GB2312" w:cs="DengXian-Regular"/>
          <w:sz w:val="32"/>
          <w:szCs w:val="32"/>
        </w:rPr>
        <w:t>0.6</w:t>
      </w:r>
      <w:r>
        <w:rPr>
          <w:rFonts w:ascii="仿宋_GB2312" w:eastAsia="仿宋_GB2312" w:cs="DengXian-Regular" w:hint="eastAsia"/>
          <w:sz w:val="32"/>
          <w:szCs w:val="32"/>
        </w:rPr>
        <w:t>万元，比预算减少了</w:t>
      </w:r>
      <w:r>
        <w:rPr>
          <w:rFonts w:ascii="仿宋_GB2312" w:eastAsia="仿宋_GB2312" w:cs="DengXian-Regular"/>
          <w:sz w:val="32"/>
          <w:szCs w:val="32"/>
        </w:rPr>
        <w:t>3.5</w:t>
      </w:r>
      <w:r>
        <w:rPr>
          <w:rFonts w:ascii="仿宋_GB2312" w:eastAsia="仿宋_GB2312" w:cs="DengXian-Regular" w:hint="eastAsia"/>
          <w:sz w:val="32"/>
          <w:szCs w:val="32"/>
        </w:rPr>
        <w:t>万元，节约率</w:t>
      </w:r>
      <w:r>
        <w:rPr>
          <w:rFonts w:ascii="仿宋_GB2312" w:eastAsia="仿宋_GB2312" w:cs="DengXian-Regular"/>
          <w:sz w:val="32"/>
          <w:szCs w:val="32"/>
        </w:rPr>
        <w:t>85.36</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hint="eastAsia"/>
          <w:sz w:val="32"/>
          <w:szCs w:val="32"/>
        </w:rPr>
        <w:t>2019</w:t>
      </w:r>
      <w:r>
        <w:rPr>
          <w:rFonts w:ascii="仿宋_GB2312" w:eastAsia="仿宋_GB2312" w:cs="DengXian-Regular" w:hint="eastAsia"/>
          <w:sz w:val="32"/>
          <w:szCs w:val="32"/>
        </w:rPr>
        <w:t>年预算数与</w:t>
      </w:r>
      <w:r>
        <w:rPr>
          <w:rFonts w:ascii="仿宋_GB2312" w:eastAsia="仿宋_GB2312" w:cs="DengXian-Regular" w:hint="eastAsia"/>
          <w:sz w:val="32"/>
          <w:szCs w:val="32"/>
        </w:rPr>
        <w:t>2018</w:t>
      </w:r>
      <w:r>
        <w:rPr>
          <w:rFonts w:ascii="仿宋_GB2312" w:eastAsia="仿宋_GB2312" w:cs="DengXian-Regular" w:hint="eastAsia"/>
          <w:sz w:val="32"/>
          <w:szCs w:val="32"/>
        </w:rPr>
        <w:t>年预算相比无变化，决算数与</w:t>
      </w:r>
      <w:r>
        <w:rPr>
          <w:rFonts w:ascii="仿宋_GB2312" w:eastAsia="仿宋_GB2312" w:cs="DengXian-Regular" w:hint="eastAsia"/>
          <w:sz w:val="32"/>
          <w:szCs w:val="32"/>
        </w:rPr>
        <w:t>2018</w:t>
      </w:r>
      <w:r>
        <w:rPr>
          <w:rFonts w:ascii="仿宋_GB2312" w:eastAsia="仿宋_GB2312" w:cs="DengXian-Regular" w:hint="eastAsia"/>
          <w:sz w:val="32"/>
          <w:szCs w:val="32"/>
        </w:rPr>
        <w:t>年实际支出相比，增加</w:t>
      </w:r>
      <w:r>
        <w:rPr>
          <w:rFonts w:ascii="仿宋_GB2312" w:eastAsia="仿宋_GB2312" w:cs="DengXian-Regular"/>
          <w:sz w:val="32"/>
          <w:szCs w:val="32"/>
        </w:rPr>
        <w:t>0.35</w:t>
      </w:r>
      <w:r>
        <w:rPr>
          <w:rFonts w:ascii="仿宋_GB2312" w:eastAsia="仿宋_GB2312" w:cs="DengXian-Regular" w:hint="eastAsia"/>
          <w:sz w:val="32"/>
          <w:szCs w:val="32"/>
        </w:rPr>
        <w:t>万元。</w:t>
      </w:r>
    </w:p>
    <w:p w:rsidR="00D36435" w:rsidRDefault="00C05A13">
      <w:pPr>
        <w:pStyle w:val="2"/>
        <w:spacing w:before="0" w:after="0" w:line="360" w:lineRule="auto"/>
        <w:ind w:firstLineChars="200" w:firstLine="643"/>
        <w:rPr>
          <w:rFonts w:ascii="黑体" w:hAnsiTheme="minorEastAsia"/>
          <w:u w:color="000000"/>
        </w:rPr>
      </w:pPr>
      <w:bookmarkStart w:id="16" w:name="_Toc20454"/>
      <w:bookmarkStart w:id="17" w:name="_Toc492652770"/>
      <w:bookmarkStart w:id="18" w:name="_Toc465149504"/>
      <w:r>
        <w:rPr>
          <w:rFonts w:ascii="黑体" w:hint="eastAsia"/>
        </w:rPr>
        <w:t>二、部门整体支出绩效评价指标体系设定情况</w:t>
      </w:r>
      <w:bookmarkEnd w:id="16"/>
      <w:bookmarkEnd w:id="17"/>
    </w:p>
    <w:p w:rsidR="00D36435" w:rsidRDefault="00C05A13">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根据绩效预算管理改革的有关政策和文件规定，并与我</w:t>
      </w:r>
      <w:r>
        <w:rPr>
          <w:rFonts w:ascii="仿宋_GB2312" w:eastAsia="仿宋_GB2312" w:cs="DengXian-Regular"/>
          <w:sz w:val="32"/>
          <w:szCs w:val="32"/>
        </w:rPr>
        <w:t>院</w:t>
      </w:r>
      <w:r>
        <w:rPr>
          <w:rFonts w:ascii="仿宋_GB2312" w:eastAsia="仿宋_GB2312" w:cs="DengXian-Regular" w:hint="eastAsia"/>
          <w:sz w:val="32"/>
          <w:szCs w:val="32"/>
        </w:rPr>
        <w:t>各</w:t>
      </w:r>
      <w:r>
        <w:rPr>
          <w:rFonts w:ascii="仿宋_GB2312" w:eastAsia="仿宋_GB2312" w:cs="DengXian-Regular"/>
          <w:sz w:val="32"/>
          <w:szCs w:val="32"/>
        </w:rPr>
        <w:t>部门</w:t>
      </w:r>
      <w:r>
        <w:rPr>
          <w:rFonts w:ascii="仿宋_GB2312" w:eastAsia="仿宋_GB2312" w:cs="DengXian-Regular" w:hint="eastAsia"/>
          <w:sz w:val="32"/>
          <w:szCs w:val="32"/>
        </w:rPr>
        <w:t>沟通，绩效评价工作组以绩效预算架构为指导，以部门预算文本及相关资料为基础，制定了部门整体支出绩效评价指标体系。</w:t>
      </w:r>
    </w:p>
    <w:p w:rsidR="00D36435" w:rsidRDefault="00C05A13">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部门整体支出绩效评价指标体系设置一级指标</w:t>
      </w:r>
      <w:r>
        <w:rPr>
          <w:rFonts w:ascii="仿宋_GB2312" w:eastAsia="仿宋_GB2312" w:cs="DengXian-Regular"/>
          <w:sz w:val="32"/>
          <w:szCs w:val="32"/>
        </w:rPr>
        <w:t>3</w:t>
      </w:r>
      <w:r>
        <w:rPr>
          <w:rFonts w:ascii="仿宋_GB2312" w:eastAsia="仿宋_GB2312" w:cs="DengXian-Regular" w:hint="eastAsia"/>
          <w:sz w:val="32"/>
          <w:szCs w:val="32"/>
        </w:rPr>
        <w:t>个，二级指标</w:t>
      </w:r>
      <w:r>
        <w:rPr>
          <w:rFonts w:ascii="仿宋_GB2312" w:eastAsia="仿宋_GB2312" w:cs="DengXian-Regular"/>
          <w:sz w:val="32"/>
          <w:szCs w:val="32"/>
        </w:rPr>
        <w:t>5</w:t>
      </w:r>
      <w:r>
        <w:rPr>
          <w:rFonts w:ascii="仿宋_GB2312" w:eastAsia="仿宋_GB2312" w:cs="DengXian-Regular" w:hint="eastAsia"/>
          <w:sz w:val="32"/>
          <w:szCs w:val="32"/>
        </w:rPr>
        <w:t>个，三级指标</w:t>
      </w:r>
      <w:r>
        <w:rPr>
          <w:rFonts w:ascii="仿宋_GB2312" w:eastAsia="仿宋_GB2312" w:cs="DengXian-Regular"/>
          <w:sz w:val="32"/>
          <w:szCs w:val="32"/>
        </w:rPr>
        <w:t>33</w:t>
      </w:r>
      <w:r>
        <w:rPr>
          <w:rFonts w:ascii="仿宋_GB2312" w:eastAsia="仿宋_GB2312" w:cs="DengXian-Regular" w:hint="eastAsia"/>
          <w:sz w:val="32"/>
          <w:szCs w:val="32"/>
        </w:rPr>
        <w:t>个（详见附件</w:t>
      </w:r>
      <w:r>
        <w:rPr>
          <w:rFonts w:ascii="仿宋_GB2312" w:eastAsia="仿宋_GB2312" w:cs="DengXian-Regular" w:hint="eastAsia"/>
          <w:sz w:val="32"/>
          <w:szCs w:val="32"/>
        </w:rPr>
        <w:t>3</w:t>
      </w:r>
      <w:r>
        <w:rPr>
          <w:rFonts w:ascii="仿宋_GB2312" w:eastAsia="仿宋_GB2312" w:cs="DengXian-Regular" w:hint="eastAsia"/>
          <w:sz w:val="32"/>
          <w:szCs w:val="32"/>
        </w:rPr>
        <w:t>）。指标体系设定</w:t>
      </w:r>
      <w:r>
        <w:rPr>
          <w:rFonts w:ascii="仿宋_GB2312" w:eastAsia="仿宋_GB2312" w:cs="DengXian-Regular" w:hint="eastAsia"/>
          <w:sz w:val="32"/>
          <w:szCs w:val="32"/>
        </w:rPr>
        <w:lastRenderedPageBreak/>
        <w:t>满分</w:t>
      </w:r>
      <w:r>
        <w:rPr>
          <w:rFonts w:ascii="仿宋_GB2312" w:eastAsia="仿宋_GB2312" w:cs="DengXian-Regular" w:hint="eastAsia"/>
          <w:sz w:val="32"/>
          <w:szCs w:val="32"/>
        </w:rPr>
        <w:t>100</w:t>
      </w:r>
      <w:r>
        <w:rPr>
          <w:rFonts w:ascii="仿宋_GB2312" w:eastAsia="仿宋_GB2312" w:cs="DengXian-Regular" w:hint="eastAsia"/>
          <w:sz w:val="32"/>
          <w:szCs w:val="32"/>
        </w:rPr>
        <w:t>分，绩效评价分值≥</w:t>
      </w:r>
      <w:r>
        <w:rPr>
          <w:rFonts w:ascii="仿宋_GB2312" w:eastAsia="仿宋_GB2312" w:cs="DengXian-Regular" w:hint="eastAsia"/>
          <w:sz w:val="32"/>
          <w:szCs w:val="32"/>
        </w:rPr>
        <w:t>90</w:t>
      </w:r>
      <w:r>
        <w:rPr>
          <w:rFonts w:ascii="仿宋_GB2312" w:eastAsia="仿宋_GB2312" w:cs="DengXian-Regular" w:hint="eastAsia"/>
          <w:sz w:val="32"/>
          <w:szCs w:val="32"/>
        </w:rPr>
        <w:t>为“优”；</w:t>
      </w:r>
      <w:r>
        <w:rPr>
          <w:rFonts w:ascii="仿宋_GB2312" w:eastAsia="仿宋_GB2312" w:cs="DengXian-Regular" w:hint="eastAsia"/>
          <w:sz w:val="32"/>
          <w:szCs w:val="32"/>
        </w:rPr>
        <w:t>80</w:t>
      </w:r>
      <w:r>
        <w:rPr>
          <w:rFonts w:ascii="仿宋_GB2312" w:eastAsia="仿宋_GB2312" w:cs="DengXian-Regular" w:hint="eastAsia"/>
          <w:sz w:val="32"/>
          <w:szCs w:val="32"/>
        </w:rPr>
        <w:t>≤分值＜</w:t>
      </w:r>
      <w:r>
        <w:rPr>
          <w:rFonts w:ascii="仿宋_GB2312" w:eastAsia="仿宋_GB2312" w:cs="DengXian-Regular" w:hint="eastAsia"/>
          <w:sz w:val="32"/>
          <w:szCs w:val="32"/>
        </w:rPr>
        <w:t>90</w:t>
      </w:r>
      <w:r>
        <w:rPr>
          <w:rFonts w:ascii="仿宋_GB2312" w:eastAsia="仿宋_GB2312" w:cs="DengXian-Regular" w:hint="eastAsia"/>
          <w:sz w:val="32"/>
          <w:szCs w:val="32"/>
        </w:rPr>
        <w:t>为“良”；</w:t>
      </w:r>
      <w:r>
        <w:rPr>
          <w:rFonts w:ascii="仿宋_GB2312" w:eastAsia="仿宋_GB2312" w:cs="DengXian-Regular" w:hint="eastAsia"/>
          <w:sz w:val="32"/>
          <w:szCs w:val="32"/>
        </w:rPr>
        <w:t>60</w:t>
      </w:r>
      <w:r>
        <w:rPr>
          <w:rFonts w:ascii="仿宋_GB2312" w:eastAsia="仿宋_GB2312" w:cs="DengXian-Regular" w:hint="eastAsia"/>
          <w:sz w:val="32"/>
          <w:szCs w:val="32"/>
        </w:rPr>
        <w:t>≤分值＜</w:t>
      </w:r>
      <w:r>
        <w:rPr>
          <w:rFonts w:ascii="仿宋_GB2312" w:eastAsia="仿宋_GB2312" w:cs="DengXian-Regular" w:hint="eastAsia"/>
          <w:sz w:val="32"/>
          <w:szCs w:val="32"/>
        </w:rPr>
        <w:t>80</w:t>
      </w:r>
      <w:r>
        <w:rPr>
          <w:rFonts w:ascii="仿宋_GB2312" w:eastAsia="仿宋_GB2312" w:cs="DengXian-Regular" w:hint="eastAsia"/>
          <w:sz w:val="32"/>
          <w:szCs w:val="32"/>
        </w:rPr>
        <w:t>为“中”；</w:t>
      </w:r>
      <w:r>
        <w:rPr>
          <w:rFonts w:ascii="仿宋_GB2312" w:eastAsia="仿宋_GB2312" w:cs="DengXian-Regular" w:hint="eastAsia"/>
          <w:sz w:val="32"/>
          <w:szCs w:val="32"/>
        </w:rPr>
        <w:t>60</w:t>
      </w:r>
      <w:r>
        <w:rPr>
          <w:rFonts w:ascii="仿宋_GB2312" w:eastAsia="仿宋_GB2312" w:cs="DengXian-Regular" w:hint="eastAsia"/>
          <w:sz w:val="32"/>
          <w:szCs w:val="32"/>
        </w:rPr>
        <w:t>分以下为“差”。评价指标体系具体构成如下：</w:t>
      </w:r>
      <w:bookmarkStart w:id="19" w:name="_Toc492652771"/>
      <w:bookmarkStart w:id="20" w:name="_Toc9569"/>
    </w:p>
    <w:p w:rsidR="00D36435" w:rsidRDefault="00C05A13">
      <w:pPr>
        <w:spacing w:after="0" w:line="360" w:lineRule="auto"/>
        <w:ind w:firstLineChars="200" w:firstLine="643"/>
        <w:jc w:val="both"/>
        <w:rPr>
          <w:rFonts w:ascii="楷体_GB2312" w:eastAsia="楷体_GB2312" w:hAnsiTheme="minorEastAsia" w:cs="Times New Roman"/>
          <w:b/>
          <w:bCs/>
          <w:kern w:val="2"/>
          <w:sz w:val="32"/>
          <w:szCs w:val="32"/>
          <w:u w:color="000000"/>
        </w:rPr>
      </w:pPr>
      <w:r>
        <w:rPr>
          <w:rFonts w:ascii="楷体_GB2312" w:eastAsia="楷体_GB2312" w:hAnsiTheme="minorEastAsia" w:cs="Times New Roman" w:hint="eastAsia"/>
          <w:b/>
          <w:bCs/>
          <w:kern w:val="2"/>
          <w:sz w:val="32"/>
          <w:szCs w:val="32"/>
          <w:u w:color="000000"/>
        </w:rPr>
        <w:t>（一）投入（</w:t>
      </w:r>
      <w:r>
        <w:rPr>
          <w:rFonts w:ascii="楷体_GB2312" w:eastAsia="楷体_GB2312" w:hAnsiTheme="minorEastAsia" w:cs="Times New Roman" w:hint="eastAsia"/>
          <w:b/>
          <w:bCs/>
          <w:kern w:val="2"/>
          <w:sz w:val="32"/>
          <w:szCs w:val="32"/>
          <w:u w:color="000000"/>
        </w:rPr>
        <w:t>12</w:t>
      </w:r>
      <w:r>
        <w:rPr>
          <w:rFonts w:ascii="楷体_GB2312" w:eastAsia="楷体_GB2312" w:hAnsiTheme="minorEastAsia" w:cs="Times New Roman" w:hint="eastAsia"/>
          <w:b/>
          <w:bCs/>
          <w:kern w:val="2"/>
          <w:sz w:val="32"/>
          <w:szCs w:val="32"/>
          <w:u w:color="000000"/>
        </w:rPr>
        <w:t>分）</w:t>
      </w:r>
      <w:bookmarkEnd w:id="19"/>
      <w:bookmarkEnd w:id="20"/>
    </w:p>
    <w:p w:rsidR="00D36435" w:rsidRDefault="00C05A13">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主要反映绩效目标设定是否合理、科学，绩效指标的制定是否清晰、可衡量，预算编制是否完整，项目预算是否细化及在职人员控制情况。</w:t>
      </w:r>
    </w:p>
    <w:p w:rsidR="00D36435" w:rsidRDefault="00C05A13">
      <w:pPr>
        <w:keepNext/>
        <w:widowControl w:val="0"/>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投入</w:t>
      </w:r>
      <w:proofErr w:type="gramStart"/>
      <w:r>
        <w:rPr>
          <w:rFonts w:ascii="仿宋_GB2312" w:eastAsia="仿宋_GB2312" w:cs="DengXian-Regular" w:hint="eastAsia"/>
          <w:sz w:val="32"/>
          <w:szCs w:val="32"/>
        </w:rPr>
        <w:t>指</w:t>
      </w:r>
      <w:r>
        <w:rPr>
          <w:rFonts w:ascii="仿宋_GB2312" w:eastAsia="仿宋_GB2312" w:cs="DengXian-Regular" w:hint="eastAsia"/>
          <w:sz w:val="32"/>
          <w:szCs w:val="32"/>
        </w:rPr>
        <w:t>标指标</w:t>
      </w:r>
      <w:proofErr w:type="gramEnd"/>
      <w:r>
        <w:rPr>
          <w:rFonts w:ascii="仿宋_GB2312" w:eastAsia="仿宋_GB2312" w:cs="DengXian-Regular" w:hint="eastAsia"/>
          <w:sz w:val="32"/>
          <w:szCs w:val="32"/>
        </w:rPr>
        <w:t>分值为</w:t>
      </w:r>
      <w:r>
        <w:rPr>
          <w:rFonts w:ascii="仿宋_GB2312" w:eastAsia="仿宋_GB2312" w:cs="DengXian-Regular" w:hint="eastAsia"/>
          <w:sz w:val="32"/>
          <w:szCs w:val="32"/>
        </w:rPr>
        <w:t>12</w:t>
      </w:r>
      <w:r>
        <w:rPr>
          <w:rFonts w:ascii="仿宋_GB2312" w:eastAsia="仿宋_GB2312" w:cs="DengXian-Regular" w:hint="eastAsia"/>
          <w:sz w:val="32"/>
          <w:szCs w:val="32"/>
        </w:rPr>
        <w:t>分，下设</w:t>
      </w:r>
      <w:r>
        <w:rPr>
          <w:rFonts w:ascii="仿宋_GB2312" w:eastAsia="仿宋_GB2312" w:cs="DengXian-Regular" w:hint="eastAsia"/>
          <w:sz w:val="32"/>
          <w:szCs w:val="32"/>
        </w:rPr>
        <w:t>2</w:t>
      </w:r>
      <w:r>
        <w:rPr>
          <w:rFonts w:ascii="仿宋_GB2312" w:eastAsia="仿宋_GB2312" w:cs="DengXian-Regular" w:hint="eastAsia"/>
          <w:sz w:val="32"/>
          <w:szCs w:val="32"/>
        </w:rPr>
        <w:t>个二级指标：绩效目标设定和预算配置，</w:t>
      </w:r>
      <w:r>
        <w:rPr>
          <w:rFonts w:ascii="仿宋_GB2312" w:eastAsia="仿宋_GB2312" w:cs="DengXian-Regular" w:hint="eastAsia"/>
          <w:sz w:val="32"/>
          <w:szCs w:val="32"/>
        </w:rPr>
        <w:t>6</w:t>
      </w:r>
      <w:r>
        <w:rPr>
          <w:rFonts w:ascii="仿宋_GB2312" w:eastAsia="仿宋_GB2312" w:cs="DengXian-Regular" w:hint="eastAsia"/>
          <w:sz w:val="32"/>
          <w:szCs w:val="32"/>
        </w:rPr>
        <w:t>个三级指标：绩效目标合理性、绩效目标科学性、绩效指标明确性、预算编制完整性、项目预算细化率、在职人员控制率。</w:t>
      </w:r>
    </w:p>
    <w:p w:rsidR="00D36435" w:rsidRDefault="00C05A13">
      <w:pPr>
        <w:pStyle w:val="3"/>
        <w:spacing w:before="0" w:after="0"/>
        <w:ind w:firstLineChars="200" w:firstLine="643"/>
        <w:jc w:val="both"/>
        <w:rPr>
          <w:rFonts w:ascii="楷体" w:eastAsia="楷体" w:hAnsi="楷体"/>
          <w:sz w:val="32"/>
        </w:rPr>
      </w:pPr>
      <w:bookmarkStart w:id="21" w:name="_Toc30221"/>
      <w:bookmarkStart w:id="22" w:name="_Toc492652772"/>
      <w:r>
        <w:rPr>
          <w:rFonts w:ascii="楷体" w:eastAsia="楷体" w:hAnsi="楷体" w:hint="eastAsia"/>
          <w:kern w:val="2"/>
          <w:sz w:val="32"/>
        </w:rPr>
        <w:t>（二）过程（</w:t>
      </w:r>
      <w:r>
        <w:rPr>
          <w:rFonts w:ascii="楷体" w:eastAsia="楷体" w:hAnsi="楷体" w:hint="eastAsia"/>
          <w:kern w:val="2"/>
          <w:sz w:val="32"/>
        </w:rPr>
        <w:t>48</w:t>
      </w:r>
      <w:r>
        <w:rPr>
          <w:rFonts w:ascii="楷体" w:eastAsia="楷体" w:hAnsi="楷体" w:hint="eastAsia"/>
          <w:kern w:val="2"/>
          <w:sz w:val="32"/>
        </w:rPr>
        <w:t>分）</w:t>
      </w:r>
      <w:bookmarkEnd w:id="21"/>
      <w:bookmarkEnd w:id="22"/>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主要反映预算调整、收入及支出完成情况，“三公”经费、政府采购执行情况，财务管理是否规范、资金使用是否合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，决算真实性。</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过程</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分值为</w:t>
      </w:r>
      <w:r>
        <w:rPr>
          <w:rFonts w:ascii="仿宋_GB2312" w:eastAsia="仿宋_GB2312" w:cs="DengXian-Regular" w:hint="eastAsia"/>
          <w:sz w:val="32"/>
          <w:szCs w:val="32"/>
        </w:rPr>
        <w:t>48</w:t>
      </w:r>
      <w:r>
        <w:rPr>
          <w:rFonts w:ascii="仿宋_GB2312" w:eastAsia="仿宋_GB2312" w:cs="DengXian-Regular" w:hint="eastAsia"/>
          <w:sz w:val="32"/>
          <w:szCs w:val="32"/>
        </w:rPr>
        <w:t>分，下设</w:t>
      </w:r>
      <w:r>
        <w:rPr>
          <w:rFonts w:ascii="仿宋_GB2312" w:eastAsia="仿宋_GB2312" w:cs="DengXian-Regular" w:hint="eastAsia"/>
          <w:sz w:val="32"/>
          <w:szCs w:val="32"/>
        </w:rPr>
        <w:t>3</w:t>
      </w:r>
      <w:r>
        <w:rPr>
          <w:rFonts w:ascii="仿宋_GB2312" w:eastAsia="仿宋_GB2312" w:cs="DengXian-Regular" w:hint="eastAsia"/>
          <w:sz w:val="32"/>
          <w:szCs w:val="32"/>
        </w:rPr>
        <w:t>个二级指标：预算执行、预算管理和绩效评价，</w:t>
      </w:r>
      <w:r>
        <w:rPr>
          <w:rFonts w:ascii="仿宋_GB2312" w:eastAsia="仿宋_GB2312" w:cs="DengXian-Regular" w:hint="eastAsia"/>
          <w:sz w:val="32"/>
          <w:szCs w:val="32"/>
        </w:rPr>
        <w:t>14</w:t>
      </w:r>
      <w:r>
        <w:rPr>
          <w:rFonts w:ascii="仿宋_GB2312" w:eastAsia="仿宋_GB2312" w:cs="DengXian-Regular" w:hint="eastAsia"/>
          <w:sz w:val="32"/>
          <w:szCs w:val="32"/>
        </w:rPr>
        <w:t>个三级指标：预算收入调整率、收入完成率、预算支出调整率、财政拨款支出完成率、“三公”经费控制率、政府采购执行率、资金使</w:t>
      </w:r>
      <w:r>
        <w:rPr>
          <w:rFonts w:ascii="仿宋_GB2312" w:eastAsia="仿宋_GB2312" w:cs="DengXian-Regular" w:hint="eastAsia"/>
          <w:sz w:val="32"/>
          <w:szCs w:val="32"/>
        </w:rPr>
        <w:t>用合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性、决算真实性、管理制度健全性、预决算信息公开性、基础信息完整性、资产管理规范性、绩效自评覆盖率、绩效评价优等率。</w:t>
      </w:r>
    </w:p>
    <w:p w:rsidR="00D36435" w:rsidRDefault="00C05A13">
      <w:pPr>
        <w:pStyle w:val="3"/>
        <w:spacing w:before="0" w:after="0"/>
        <w:ind w:firstLineChars="200" w:firstLine="643"/>
        <w:jc w:val="both"/>
        <w:rPr>
          <w:rFonts w:ascii="楷体" w:eastAsia="楷体" w:hAnsi="楷体"/>
          <w:kern w:val="2"/>
          <w:sz w:val="32"/>
        </w:rPr>
      </w:pPr>
      <w:bookmarkStart w:id="23" w:name="_Toc492652773"/>
      <w:bookmarkStart w:id="24" w:name="_Toc24932"/>
      <w:r>
        <w:rPr>
          <w:rFonts w:ascii="楷体" w:eastAsia="楷体" w:hAnsi="楷体" w:hint="eastAsia"/>
          <w:kern w:val="2"/>
          <w:sz w:val="32"/>
        </w:rPr>
        <w:lastRenderedPageBreak/>
        <w:t>（三）产出（</w:t>
      </w:r>
      <w:r>
        <w:rPr>
          <w:rFonts w:ascii="楷体" w:eastAsia="楷体" w:hAnsi="楷体" w:hint="eastAsia"/>
          <w:kern w:val="2"/>
          <w:sz w:val="32"/>
        </w:rPr>
        <w:t>25</w:t>
      </w:r>
      <w:r>
        <w:rPr>
          <w:rFonts w:ascii="楷体" w:eastAsia="楷体" w:hAnsi="楷体" w:hint="eastAsia"/>
          <w:kern w:val="2"/>
          <w:sz w:val="32"/>
        </w:rPr>
        <w:t>分）</w:t>
      </w:r>
      <w:bookmarkEnd w:id="23"/>
      <w:bookmarkEnd w:id="24"/>
    </w:p>
    <w:p w:rsidR="00D36435" w:rsidRDefault="00C05A13">
      <w:pPr>
        <w:spacing w:after="0" w:line="360" w:lineRule="auto"/>
        <w:ind w:firstLineChars="200" w:firstLine="640"/>
        <w:jc w:val="both"/>
        <w:textAlignment w:val="baseline"/>
        <w:rPr>
          <w:rFonts w:ascii="仿宋_GB2312" w:eastAsia="仿宋_GB2312" w:cs="DengXian-Regular"/>
          <w:sz w:val="32"/>
          <w:szCs w:val="32"/>
        </w:rPr>
      </w:pPr>
      <w:bookmarkStart w:id="25" w:name="_Toc492652774"/>
      <w:r>
        <w:rPr>
          <w:rFonts w:ascii="仿宋_GB2312" w:eastAsia="仿宋_GB2312" w:cs="DengXian-Regular" w:hint="eastAsia"/>
          <w:sz w:val="32"/>
          <w:szCs w:val="32"/>
        </w:rPr>
        <w:t>主要反映结转结余率，项目资金使用率，。</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产出</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分值为</w:t>
      </w:r>
      <w:r>
        <w:rPr>
          <w:rFonts w:ascii="仿宋_GB2312" w:eastAsia="仿宋_GB2312" w:cs="DengXian-Regular" w:hint="eastAsia"/>
          <w:sz w:val="32"/>
          <w:szCs w:val="32"/>
        </w:rPr>
        <w:t>25</w:t>
      </w:r>
      <w:r>
        <w:rPr>
          <w:rFonts w:ascii="仿宋_GB2312" w:eastAsia="仿宋_GB2312" w:cs="DengXian-Regular" w:hint="eastAsia"/>
          <w:sz w:val="32"/>
          <w:szCs w:val="32"/>
        </w:rPr>
        <w:t>分，下设</w:t>
      </w:r>
      <w:r>
        <w:rPr>
          <w:rFonts w:ascii="仿宋_GB2312" w:eastAsia="仿宋_GB2312" w:cs="DengXian-Regular" w:hint="eastAsia"/>
          <w:sz w:val="32"/>
          <w:szCs w:val="32"/>
        </w:rPr>
        <w:t>1</w:t>
      </w:r>
      <w:r>
        <w:rPr>
          <w:rFonts w:ascii="仿宋_GB2312" w:eastAsia="仿宋_GB2312" w:cs="DengXian-Regular" w:hint="eastAsia"/>
          <w:sz w:val="32"/>
          <w:szCs w:val="32"/>
        </w:rPr>
        <w:t>个二级指标：责任履行，</w:t>
      </w:r>
      <w:r>
        <w:rPr>
          <w:rFonts w:ascii="仿宋_GB2312" w:eastAsia="仿宋_GB2312" w:cs="DengXian-Regular" w:hint="eastAsia"/>
          <w:sz w:val="32"/>
          <w:szCs w:val="32"/>
        </w:rPr>
        <w:t>5</w:t>
      </w:r>
      <w:r>
        <w:rPr>
          <w:rFonts w:ascii="仿宋_GB2312" w:eastAsia="仿宋_GB2312" w:cs="DengXian-Regular" w:hint="eastAsia"/>
          <w:sz w:val="32"/>
          <w:szCs w:val="32"/>
        </w:rPr>
        <w:t>个三级指标：结转结余率、项目资金使用率。</w:t>
      </w:r>
    </w:p>
    <w:p w:rsidR="00D36435" w:rsidRDefault="00C05A13">
      <w:pPr>
        <w:pStyle w:val="3"/>
        <w:spacing w:before="0" w:after="0"/>
        <w:ind w:firstLineChars="200" w:firstLine="643"/>
        <w:jc w:val="both"/>
        <w:rPr>
          <w:rFonts w:ascii="楷体_GB2312" w:eastAsia="楷体_GB2312" w:hAnsiTheme="minorEastAsia"/>
          <w:sz w:val="32"/>
        </w:rPr>
      </w:pPr>
      <w:bookmarkStart w:id="26" w:name="_Toc21821"/>
      <w:r>
        <w:rPr>
          <w:rFonts w:ascii="楷体_GB2312" w:eastAsia="楷体_GB2312" w:hAnsiTheme="minorEastAsia" w:hint="eastAsia"/>
          <w:kern w:val="2"/>
          <w:sz w:val="32"/>
        </w:rPr>
        <w:t>（四）效果（</w:t>
      </w:r>
      <w:r>
        <w:rPr>
          <w:rFonts w:ascii="楷体_GB2312" w:eastAsia="楷体_GB2312" w:hAnsiTheme="minorEastAsia" w:hint="eastAsia"/>
          <w:kern w:val="2"/>
          <w:sz w:val="32"/>
        </w:rPr>
        <w:t>15</w:t>
      </w:r>
      <w:r>
        <w:rPr>
          <w:rFonts w:ascii="楷体_GB2312" w:eastAsia="楷体_GB2312" w:hAnsiTheme="minorEastAsia" w:hint="eastAsia"/>
          <w:kern w:val="2"/>
          <w:sz w:val="32"/>
        </w:rPr>
        <w:t>分）</w:t>
      </w:r>
      <w:bookmarkEnd w:id="25"/>
      <w:bookmarkEnd w:id="26"/>
    </w:p>
    <w:p w:rsidR="00D36435" w:rsidRDefault="00C05A13">
      <w:pPr>
        <w:spacing w:after="0" w:line="360" w:lineRule="auto"/>
        <w:ind w:firstLineChars="200" w:firstLine="640"/>
        <w:jc w:val="both"/>
        <w:textAlignment w:val="baseline"/>
        <w:rPr>
          <w:rFonts w:ascii="仿宋_GB2312" w:eastAsia="仿宋_GB2312" w:cs="DengXian-Regular"/>
          <w:sz w:val="32"/>
          <w:szCs w:val="32"/>
        </w:rPr>
      </w:pPr>
      <w:bookmarkStart w:id="27" w:name="_Toc492652775"/>
      <w:r>
        <w:rPr>
          <w:rFonts w:ascii="仿宋_GB2312" w:eastAsia="仿宋_GB2312" w:cs="DengXian-Regular" w:hint="eastAsia"/>
          <w:sz w:val="32"/>
          <w:szCs w:val="32"/>
        </w:rPr>
        <w:t>主要反映部门履行职责对社会发展所带来的直接或间接效益及社会公众或部门的服务对象对部门履职效果的满意程度。</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效果</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w:t>
      </w:r>
      <w:r>
        <w:rPr>
          <w:rFonts w:ascii="仿宋_GB2312" w:eastAsia="仿宋_GB2312" w:cs="DengXian-Regular" w:hint="eastAsia"/>
          <w:sz w:val="32"/>
          <w:szCs w:val="32"/>
        </w:rPr>
        <w:t>15</w:t>
      </w:r>
      <w:r>
        <w:rPr>
          <w:rFonts w:ascii="仿宋_GB2312" w:eastAsia="仿宋_GB2312" w:cs="DengXian-Regular" w:hint="eastAsia"/>
          <w:sz w:val="32"/>
          <w:szCs w:val="32"/>
        </w:rPr>
        <w:t>分，下设</w:t>
      </w:r>
      <w:r>
        <w:rPr>
          <w:rFonts w:ascii="仿宋_GB2312" w:eastAsia="仿宋_GB2312" w:cs="DengXian-Regular" w:hint="eastAsia"/>
          <w:sz w:val="32"/>
          <w:szCs w:val="32"/>
        </w:rPr>
        <w:t>1</w:t>
      </w:r>
      <w:r>
        <w:rPr>
          <w:rFonts w:ascii="仿宋_GB2312" w:eastAsia="仿宋_GB2312" w:cs="DengXian-Regular" w:hint="eastAsia"/>
          <w:sz w:val="32"/>
          <w:szCs w:val="32"/>
        </w:rPr>
        <w:t>个二级指标：履职效率，</w:t>
      </w:r>
      <w:r>
        <w:rPr>
          <w:rFonts w:ascii="仿宋_GB2312" w:eastAsia="仿宋_GB2312" w:cs="DengXian-Regular" w:hint="eastAsia"/>
          <w:sz w:val="32"/>
          <w:szCs w:val="32"/>
        </w:rPr>
        <w:t>2</w:t>
      </w:r>
      <w:r>
        <w:rPr>
          <w:rFonts w:ascii="仿宋_GB2312" w:eastAsia="仿宋_GB2312" w:cs="DengXian-Regular" w:hint="eastAsia"/>
          <w:sz w:val="32"/>
          <w:szCs w:val="32"/>
        </w:rPr>
        <w:t>个三级指标：部门整体效益和考核满意度。</w:t>
      </w:r>
    </w:p>
    <w:p w:rsidR="00D36435" w:rsidRDefault="00C05A13">
      <w:pPr>
        <w:pStyle w:val="2"/>
        <w:spacing w:before="0" w:after="0" w:line="360" w:lineRule="auto"/>
        <w:ind w:firstLineChars="200" w:firstLine="643"/>
        <w:rPr>
          <w:rFonts w:ascii="黑体"/>
        </w:rPr>
      </w:pPr>
      <w:bookmarkStart w:id="28" w:name="_Toc11842"/>
      <w:r>
        <w:rPr>
          <w:rFonts w:ascii="黑体" w:hint="eastAsia"/>
        </w:rPr>
        <w:t>三、综合绩效评价工作情况</w:t>
      </w:r>
      <w:bookmarkStart w:id="29" w:name="_Toc465149505"/>
      <w:bookmarkStart w:id="30" w:name="_Toc492652776"/>
      <w:bookmarkEnd w:id="18"/>
      <w:bookmarkEnd w:id="27"/>
      <w:bookmarkEnd w:id="28"/>
    </w:p>
    <w:p w:rsidR="00D36435" w:rsidRDefault="00C05A13">
      <w:pPr>
        <w:pStyle w:val="3"/>
        <w:spacing w:before="0" w:after="0"/>
        <w:ind w:firstLineChars="200" w:firstLine="643"/>
        <w:jc w:val="both"/>
        <w:rPr>
          <w:rFonts w:ascii="楷体_GB2312" w:eastAsia="楷体_GB2312" w:hAnsiTheme="minorEastAsia"/>
          <w:sz w:val="32"/>
        </w:rPr>
      </w:pPr>
      <w:bookmarkStart w:id="31" w:name="_Toc17138"/>
      <w:r>
        <w:rPr>
          <w:rFonts w:ascii="楷体_GB2312" w:eastAsia="楷体_GB2312" w:hAnsiTheme="minorEastAsia" w:hint="eastAsia"/>
          <w:kern w:val="2"/>
          <w:sz w:val="32"/>
        </w:rPr>
        <w:t>（一）绩效评价目的</w:t>
      </w:r>
      <w:bookmarkEnd w:id="29"/>
      <w:bookmarkEnd w:id="30"/>
      <w:bookmarkEnd w:id="31"/>
    </w:p>
    <w:p w:rsidR="00D36435" w:rsidRDefault="00C05A13">
      <w:pPr>
        <w:spacing w:after="0" w:line="360" w:lineRule="auto"/>
        <w:ind w:firstLineChars="200" w:firstLine="640"/>
        <w:jc w:val="both"/>
        <w:textAlignment w:val="baseline"/>
        <w:rPr>
          <w:rFonts w:ascii="仿宋_GB2312" w:eastAsia="仿宋_GB2312" w:cs="DengXian-Regular"/>
          <w:sz w:val="32"/>
          <w:szCs w:val="32"/>
        </w:rPr>
      </w:pPr>
      <w:bookmarkStart w:id="32" w:name="_Toc492652777"/>
      <w:bookmarkStart w:id="33" w:name="_Toc465149506"/>
      <w:r>
        <w:rPr>
          <w:rFonts w:ascii="仿宋_GB2312" w:eastAsia="仿宋_GB2312" w:cs="DengXian-Regular" w:hint="eastAsia"/>
          <w:sz w:val="32"/>
          <w:szCs w:val="32"/>
        </w:rPr>
        <w:t>通过对</w:t>
      </w:r>
      <w:r>
        <w:rPr>
          <w:rFonts w:ascii="仿宋_GB2312" w:eastAsia="仿宋_GB2312" w:cs="DengXian-Regular" w:hint="eastAsia"/>
          <w:sz w:val="32"/>
          <w:szCs w:val="32"/>
        </w:rPr>
        <w:t>区法</w:t>
      </w:r>
      <w:r>
        <w:rPr>
          <w:rFonts w:ascii="仿宋_GB2312" w:eastAsia="仿宋_GB2312" w:cs="DengXian-Regular" w:hint="eastAsia"/>
          <w:sz w:val="32"/>
          <w:szCs w:val="32"/>
        </w:rPr>
        <w:t>院</w:t>
      </w:r>
      <w:r>
        <w:rPr>
          <w:rFonts w:ascii="仿宋_GB2312" w:eastAsia="仿宋_GB2312" w:cs="DengXian-Regular" w:hint="eastAsia"/>
          <w:sz w:val="32"/>
          <w:szCs w:val="32"/>
        </w:rPr>
        <w:t>2019</w:t>
      </w:r>
      <w:r>
        <w:rPr>
          <w:rFonts w:ascii="仿宋_GB2312" w:eastAsia="仿宋_GB2312" w:cs="DengXian-Regular" w:hint="eastAsia"/>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rsidR="00D36435" w:rsidRDefault="00C05A13">
      <w:pPr>
        <w:pStyle w:val="3"/>
        <w:spacing w:before="0" w:after="0"/>
        <w:ind w:firstLineChars="200" w:firstLine="643"/>
        <w:jc w:val="both"/>
        <w:rPr>
          <w:rFonts w:ascii="楷体_GB2312" w:eastAsia="楷体_GB2312" w:hAnsiTheme="minorEastAsia"/>
          <w:kern w:val="2"/>
          <w:sz w:val="32"/>
        </w:rPr>
      </w:pPr>
      <w:bookmarkStart w:id="34" w:name="_Toc11607"/>
      <w:r>
        <w:rPr>
          <w:rFonts w:ascii="楷体_GB2312" w:eastAsia="楷体_GB2312" w:hAnsiTheme="minorEastAsia" w:hint="eastAsia"/>
          <w:kern w:val="2"/>
          <w:sz w:val="32"/>
        </w:rPr>
        <w:lastRenderedPageBreak/>
        <w:t>（二）绩效评价依据</w:t>
      </w:r>
      <w:bookmarkEnd w:id="32"/>
      <w:bookmarkEnd w:id="33"/>
      <w:bookmarkEnd w:id="34"/>
    </w:p>
    <w:p w:rsidR="00D36435" w:rsidRDefault="00C05A13">
      <w:pPr>
        <w:spacing w:after="0" w:line="360" w:lineRule="auto"/>
        <w:ind w:firstLineChars="200" w:firstLine="640"/>
        <w:jc w:val="both"/>
        <w:textAlignment w:val="baseline"/>
        <w:rPr>
          <w:rFonts w:ascii="仿宋_GB2312" w:eastAsia="仿宋_GB2312" w:cs="DengXian-Regular"/>
          <w:sz w:val="32"/>
          <w:szCs w:val="32"/>
        </w:rPr>
      </w:pPr>
      <w:bookmarkStart w:id="35" w:name="_Toc465149507"/>
      <w:r>
        <w:rPr>
          <w:rFonts w:ascii="仿宋_GB2312" w:eastAsia="仿宋_GB2312" w:cs="DengXian-Regular" w:hint="eastAsia"/>
          <w:sz w:val="32"/>
          <w:szCs w:val="32"/>
        </w:rPr>
        <w:t>1.</w:t>
      </w:r>
      <w:r>
        <w:rPr>
          <w:rFonts w:ascii="仿宋_GB2312" w:eastAsia="仿宋_GB2312" w:cs="DengXian-Regular"/>
          <w:sz w:val="32"/>
          <w:szCs w:val="32"/>
        </w:rPr>
        <w:t>《中华人民共和国预算法》；</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中共中央国务院《关于全面实施预算绩效管理的意见》（中发〔</w:t>
      </w:r>
      <w:r>
        <w:rPr>
          <w:rFonts w:ascii="仿宋_GB2312" w:eastAsia="仿宋_GB2312" w:cs="DengXian-Regular" w:hint="eastAsia"/>
          <w:sz w:val="32"/>
          <w:szCs w:val="32"/>
        </w:rPr>
        <w:t>2018</w:t>
      </w:r>
      <w:r>
        <w:rPr>
          <w:rFonts w:ascii="仿宋_GB2312" w:eastAsia="仿宋_GB2312" w:cs="DengXian-Regular" w:hint="eastAsia"/>
          <w:sz w:val="32"/>
          <w:szCs w:val="32"/>
        </w:rPr>
        <w:t>〕</w:t>
      </w:r>
      <w:r>
        <w:rPr>
          <w:rFonts w:ascii="仿宋_GB2312" w:eastAsia="仿宋_GB2312" w:cs="DengXian-Regular" w:hint="eastAsia"/>
          <w:sz w:val="32"/>
          <w:szCs w:val="32"/>
        </w:rPr>
        <w:t>34</w:t>
      </w:r>
      <w:r>
        <w:rPr>
          <w:rFonts w:ascii="仿宋_GB2312" w:eastAsia="仿宋_GB2312" w:cs="DengXian-Regular" w:hint="eastAsia"/>
          <w:sz w:val="32"/>
          <w:szCs w:val="32"/>
        </w:rPr>
        <w:t>号）；</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sz w:val="32"/>
          <w:szCs w:val="32"/>
        </w:rPr>
        <w:t>《河北省财政支出绩效评价管理办法》（冀财预</w:t>
      </w:r>
      <w:r>
        <w:rPr>
          <w:rFonts w:ascii="仿宋_GB2312" w:eastAsia="仿宋_GB2312" w:cs="DengXian-Regular" w:hint="eastAsia"/>
          <w:sz w:val="32"/>
          <w:szCs w:val="32"/>
        </w:rPr>
        <w:t>〔</w:t>
      </w:r>
      <w:r>
        <w:rPr>
          <w:rFonts w:ascii="仿宋_GB2312" w:eastAsia="仿宋_GB2312" w:cs="DengXian-Regular" w:hint="eastAsia"/>
          <w:sz w:val="32"/>
          <w:szCs w:val="32"/>
        </w:rPr>
        <w:t>2011</w:t>
      </w:r>
      <w:r>
        <w:rPr>
          <w:rFonts w:ascii="仿宋_GB2312" w:eastAsia="仿宋_GB2312" w:cs="DengXian-Regular" w:hint="eastAsia"/>
          <w:sz w:val="32"/>
          <w:szCs w:val="32"/>
        </w:rPr>
        <w:t>〕</w:t>
      </w:r>
      <w:r>
        <w:rPr>
          <w:rFonts w:ascii="仿宋_GB2312" w:eastAsia="仿宋_GB2312" w:cs="DengXian-Regular" w:hint="eastAsia"/>
          <w:sz w:val="32"/>
          <w:szCs w:val="32"/>
        </w:rPr>
        <w:t>68</w:t>
      </w:r>
      <w:r>
        <w:rPr>
          <w:rFonts w:ascii="仿宋_GB2312" w:eastAsia="仿宋_GB2312" w:cs="DengXian-Regular" w:hint="eastAsia"/>
          <w:sz w:val="32"/>
          <w:szCs w:val="32"/>
        </w:rPr>
        <w:t>号）；</w:t>
      </w:r>
      <w:r>
        <w:rPr>
          <w:rFonts w:ascii="仿宋_GB2312" w:eastAsia="仿宋_GB2312" w:cs="DengXian-Regular" w:hint="eastAsia"/>
          <w:sz w:val="32"/>
          <w:szCs w:val="32"/>
        </w:rPr>
        <w:t xml:space="preserve"> </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w:t>
      </w:r>
      <w:r>
        <w:rPr>
          <w:rFonts w:ascii="仿宋_GB2312" w:eastAsia="仿宋_GB2312" w:cs="DengXian-Regular" w:hint="eastAsia"/>
          <w:sz w:val="32"/>
          <w:szCs w:val="32"/>
        </w:rPr>
        <w:t>中共河北省委河北省人民政府</w:t>
      </w:r>
      <w:r>
        <w:rPr>
          <w:rFonts w:ascii="仿宋_GB2312" w:eastAsia="仿宋_GB2312" w:cs="DengXian-Regular"/>
          <w:sz w:val="32"/>
          <w:szCs w:val="32"/>
        </w:rPr>
        <w:t>《</w:t>
      </w:r>
      <w:r>
        <w:rPr>
          <w:rFonts w:ascii="仿宋_GB2312" w:eastAsia="仿宋_GB2312" w:cs="DengXian-Regular" w:hint="eastAsia"/>
          <w:sz w:val="32"/>
          <w:szCs w:val="32"/>
        </w:rPr>
        <w:t>关于全面实施预算绩效管理的实施意见</w:t>
      </w:r>
      <w:r>
        <w:rPr>
          <w:rFonts w:ascii="仿宋_GB2312" w:eastAsia="仿宋_GB2312" w:cs="DengXian-Regular"/>
          <w:sz w:val="32"/>
          <w:szCs w:val="32"/>
        </w:rPr>
        <w:t>》（</w:t>
      </w:r>
      <w:proofErr w:type="gramStart"/>
      <w:r>
        <w:rPr>
          <w:rFonts w:ascii="仿宋_GB2312" w:eastAsia="仿宋_GB2312" w:cs="DengXian-Regular"/>
          <w:sz w:val="32"/>
          <w:szCs w:val="32"/>
        </w:rPr>
        <w:t>冀</w:t>
      </w:r>
      <w:r>
        <w:rPr>
          <w:rFonts w:ascii="仿宋_GB2312" w:eastAsia="仿宋_GB2312" w:cs="DengXian-Regular" w:hint="eastAsia"/>
          <w:sz w:val="32"/>
          <w:szCs w:val="32"/>
        </w:rPr>
        <w:t>发〔</w:t>
      </w:r>
      <w:r>
        <w:rPr>
          <w:rFonts w:ascii="仿宋_GB2312" w:eastAsia="仿宋_GB2312" w:cs="DengXian-Regular" w:hint="eastAsia"/>
          <w:sz w:val="32"/>
          <w:szCs w:val="32"/>
        </w:rPr>
        <w:t>2018</w:t>
      </w:r>
      <w:r>
        <w:rPr>
          <w:rFonts w:ascii="仿宋_GB2312" w:eastAsia="仿宋_GB2312" w:cs="DengXian-Regular" w:hint="eastAsia"/>
          <w:sz w:val="32"/>
          <w:szCs w:val="32"/>
        </w:rPr>
        <w:t>〕</w:t>
      </w:r>
      <w:proofErr w:type="gramEnd"/>
      <w:r>
        <w:rPr>
          <w:rFonts w:ascii="仿宋_GB2312" w:eastAsia="仿宋_GB2312" w:cs="DengXian-Regular" w:hint="eastAsia"/>
          <w:sz w:val="32"/>
          <w:szCs w:val="32"/>
        </w:rPr>
        <w:t>54</w:t>
      </w:r>
      <w:r>
        <w:rPr>
          <w:rFonts w:ascii="仿宋_GB2312" w:eastAsia="仿宋_GB2312" w:cs="DengXian-Regular"/>
          <w:sz w:val="32"/>
          <w:szCs w:val="32"/>
        </w:rPr>
        <w:t>号）</w:t>
      </w:r>
      <w:r>
        <w:rPr>
          <w:rFonts w:ascii="仿宋_GB2312" w:eastAsia="仿宋_GB2312" w:cs="DengXian-Regular" w:hint="eastAsia"/>
          <w:sz w:val="32"/>
          <w:szCs w:val="32"/>
        </w:rPr>
        <w:t>；</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w:t>
      </w:r>
      <w:r>
        <w:rPr>
          <w:rFonts w:ascii="仿宋_GB2312" w:eastAsia="仿宋_GB2312" w:cs="DengXian-Regular" w:hint="eastAsia"/>
          <w:sz w:val="32"/>
          <w:szCs w:val="32"/>
        </w:rPr>
        <w:t>保定市徐水区财政局《关于印发绩效评价工作规划（</w:t>
      </w:r>
      <w:r>
        <w:rPr>
          <w:rFonts w:ascii="仿宋_GB2312" w:eastAsia="仿宋_GB2312" w:cs="DengXian-Regular" w:hint="eastAsia"/>
          <w:sz w:val="32"/>
          <w:szCs w:val="32"/>
        </w:rPr>
        <w:t>2016-2020</w:t>
      </w:r>
      <w:r>
        <w:rPr>
          <w:rFonts w:ascii="仿宋_GB2312" w:eastAsia="仿宋_GB2312" w:cs="DengXian-Regular" w:hint="eastAsia"/>
          <w:sz w:val="32"/>
          <w:szCs w:val="32"/>
        </w:rPr>
        <w:t>年）的通知》（徐政财字〔</w:t>
      </w:r>
      <w:r>
        <w:rPr>
          <w:rFonts w:ascii="仿宋_GB2312" w:eastAsia="仿宋_GB2312" w:cs="DengXian-Regular" w:hint="eastAsia"/>
          <w:sz w:val="32"/>
          <w:szCs w:val="32"/>
        </w:rPr>
        <w:t>2016</w:t>
      </w:r>
      <w:r>
        <w:rPr>
          <w:rFonts w:ascii="仿宋_GB2312" w:eastAsia="仿宋_GB2312" w:cs="DengXian-Regular" w:hint="eastAsia"/>
          <w:sz w:val="32"/>
          <w:szCs w:val="32"/>
        </w:rPr>
        <w:t>〕</w:t>
      </w:r>
      <w:r>
        <w:rPr>
          <w:rFonts w:ascii="仿宋_GB2312" w:eastAsia="仿宋_GB2312" w:cs="DengXian-Regular" w:hint="eastAsia"/>
          <w:sz w:val="32"/>
          <w:szCs w:val="32"/>
        </w:rPr>
        <w:t>45</w:t>
      </w:r>
      <w:r>
        <w:rPr>
          <w:rFonts w:ascii="仿宋_GB2312" w:eastAsia="仿宋_GB2312" w:cs="DengXian-Regular" w:hint="eastAsia"/>
          <w:sz w:val="32"/>
          <w:szCs w:val="32"/>
        </w:rPr>
        <w:t>号）；</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w:t>
      </w:r>
      <w:r>
        <w:rPr>
          <w:rFonts w:ascii="仿宋_GB2312" w:eastAsia="仿宋_GB2312" w:cs="DengXian-Regular" w:hint="eastAsia"/>
          <w:sz w:val="32"/>
          <w:szCs w:val="32"/>
        </w:rPr>
        <w:t>保定市徐水区财政局《关于印发</w:t>
      </w:r>
      <w:r>
        <w:rPr>
          <w:rFonts w:ascii="仿宋_GB2312" w:eastAsia="仿宋_GB2312" w:cs="DengXian-Regular" w:hint="eastAsia"/>
          <w:sz w:val="32"/>
          <w:szCs w:val="32"/>
        </w:rPr>
        <w:t>&lt;</w:t>
      </w:r>
      <w:r>
        <w:rPr>
          <w:rFonts w:ascii="仿宋_GB2312" w:eastAsia="仿宋_GB2312" w:cs="DengXian-Regular" w:hint="eastAsia"/>
          <w:sz w:val="32"/>
          <w:szCs w:val="32"/>
        </w:rPr>
        <w:t>全面实施预算绩效管理推进工作方案</w:t>
      </w:r>
      <w:r>
        <w:rPr>
          <w:rFonts w:ascii="仿宋_GB2312" w:eastAsia="仿宋_GB2312" w:cs="DengXian-Regular" w:hint="eastAsia"/>
          <w:sz w:val="32"/>
          <w:szCs w:val="32"/>
        </w:rPr>
        <w:t>&gt;</w:t>
      </w:r>
      <w:r>
        <w:rPr>
          <w:rFonts w:ascii="仿宋_GB2312" w:eastAsia="仿宋_GB2312" w:cs="DengXian-Regular" w:hint="eastAsia"/>
          <w:sz w:val="32"/>
          <w:szCs w:val="32"/>
        </w:rPr>
        <w:t>的通知》（徐政财字〔</w:t>
      </w:r>
      <w:r>
        <w:rPr>
          <w:rFonts w:ascii="仿宋_GB2312" w:eastAsia="仿宋_GB2312" w:cs="DengXian-Regular" w:hint="eastAsia"/>
          <w:sz w:val="32"/>
          <w:szCs w:val="32"/>
        </w:rPr>
        <w:t>2019</w:t>
      </w:r>
      <w:r>
        <w:rPr>
          <w:rFonts w:ascii="仿宋_GB2312" w:eastAsia="仿宋_GB2312" w:cs="DengXian-Regular" w:hint="eastAsia"/>
          <w:sz w:val="32"/>
          <w:szCs w:val="32"/>
        </w:rPr>
        <w:t>〕</w:t>
      </w:r>
      <w:r>
        <w:rPr>
          <w:rFonts w:ascii="仿宋_GB2312" w:eastAsia="仿宋_GB2312" w:cs="DengXian-Regular" w:hint="eastAsia"/>
          <w:sz w:val="32"/>
          <w:szCs w:val="32"/>
        </w:rPr>
        <w:t>33</w:t>
      </w:r>
      <w:r>
        <w:rPr>
          <w:rFonts w:ascii="仿宋_GB2312" w:eastAsia="仿宋_GB2312" w:cs="DengXian-Regular" w:hint="eastAsia"/>
          <w:sz w:val="32"/>
          <w:szCs w:val="32"/>
        </w:rPr>
        <w:t>号）；</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w:t>
      </w:r>
      <w:r>
        <w:rPr>
          <w:rFonts w:ascii="仿宋_GB2312" w:eastAsia="仿宋_GB2312" w:cs="DengXian-Regular" w:hint="eastAsia"/>
          <w:sz w:val="32"/>
          <w:szCs w:val="32"/>
        </w:rPr>
        <w:t>其他与部门绩效评价工作相关的文件</w:t>
      </w:r>
      <w:r>
        <w:rPr>
          <w:rFonts w:ascii="仿宋_GB2312" w:eastAsia="仿宋_GB2312" w:cs="DengXian-Regular" w:hint="eastAsia"/>
          <w:sz w:val="32"/>
          <w:szCs w:val="32"/>
        </w:rPr>
        <w:t>。</w:t>
      </w:r>
      <w:bookmarkStart w:id="36" w:name="_Toc492652778"/>
    </w:p>
    <w:p w:rsidR="00D36435" w:rsidRDefault="00C05A13">
      <w:pPr>
        <w:pStyle w:val="3"/>
        <w:spacing w:before="0" w:after="0"/>
        <w:ind w:firstLineChars="200" w:firstLine="643"/>
        <w:jc w:val="both"/>
        <w:rPr>
          <w:rFonts w:ascii="楷体_GB2312" w:eastAsia="楷体_GB2312" w:hAnsiTheme="minorEastAsia"/>
          <w:kern w:val="2"/>
          <w:sz w:val="32"/>
        </w:rPr>
      </w:pPr>
      <w:bookmarkStart w:id="37" w:name="_Toc7609"/>
      <w:r>
        <w:rPr>
          <w:rFonts w:ascii="楷体_GB2312" w:eastAsia="楷体_GB2312" w:hAnsiTheme="minorEastAsia" w:hint="eastAsia"/>
          <w:kern w:val="2"/>
          <w:sz w:val="32"/>
        </w:rPr>
        <w:t>（三）绩效评价</w:t>
      </w:r>
      <w:bookmarkEnd w:id="36"/>
      <w:r>
        <w:rPr>
          <w:rFonts w:ascii="楷体_GB2312" w:eastAsia="楷体_GB2312" w:hAnsiTheme="minorEastAsia" w:hint="eastAsia"/>
          <w:kern w:val="2"/>
          <w:sz w:val="32"/>
        </w:rPr>
        <w:t>内容</w:t>
      </w:r>
      <w:bookmarkEnd w:id="37"/>
    </w:p>
    <w:p w:rsidR="00D36435" w:rsidRDefault="00C05A13">
      <w:pPr>
        <w:spacing w:after="0" w:line="360" w:lineRule="auto"/>
        <w:ind w:firstLineChars="200" w:firstLine="640"/>
        <w:jc w:val="both"/>
        <w:textAlignment w:val="baseline"/>
        <w:rPr>
          <w:rFonts w:ascii="仿宋_GB2312" w:eastAsia="仿宋_GB2312" w:cs="DengXian-Regular"/>
          <w:sz w:val="32"/>
          <w:szCs w:val="32"/>
        </w:rPr>
      </w:pPr>
      <w:bookmarkStart w:id="38" w:name="_Toc465149508"/>
      <w:bookmarkStart w:id="39" w:name="_Toc492652779"/>
      <w:bookmarkEnd w:id="35"/>
      <w:r>
        <w:rPr>
          <w:rFonts w:ascii="仿宋_GB2312" w:eastAsia="仿宋_GB2312" w:cs="DengXian-Regular" w:hint="eastAsia"/>
          <w:sz w:val="32"/>
          <w:szCs w:val="32"/>
        </w:rPr>
        <w:t>区法</w:t>
      </w:r>
      <w:r>
        <w:rPr>
          <w:rFonts w:ascii="仿宋_GB2312" w:eastAsia="仿宋_GB2312" w:cs="DengXian-Regular" w:hint="eastAsia"/>
          <w:sz w:val="32"/>
          <w:szCs w:val="32"/>
        </w:rPr>
        <w:t>院</w:t>
      </w:r>
      <w:r>
        <w:rPr>
          <w:rFonts w:ascii="仿宋_GB2312" w:eastAsia="仿宋_GB2312" w:cs="DengXian-Regular" w:hint="eastAsia"/>
          <w:sz w:val="32"/>
          <w:szCs w:val="32"/>
        </w:rPr>
        <w:t>2019</w:t>
      </w:r>
      <w:r>
        <w:rPr>
          <w:rFonts w:ascii="仿宋_GB2312" w:eastAsia="仿宋_GB2312" w:cs="DengXian-Regular" w:hint="eastAsia"/>
          <w:sz w:val="32"/>
          <w:szCs w:val="32"/>
        </w:rPr>
        <w:t>年部门整体支出绩效目标和指标的设置及完成情况；资金预算情况、实际收支情况及结转结余情况；部门履职对社会发展所带来的直接或间接影响及服务对象对部门履职效果的满意程度。</w:t>
      </w:r>
    </w:p>
    <w:p w:rsidR="00D36435" w:rsidRDefault="00C05A13">
      <w:pPr>
        <w:pStyle w:val="3"/>
        <w:spacing w:before="0" w:after="0"/>
        <w:ind w:firstLineChars="200" w:firstLine="643"/>
        <w:jc w:val="both"/>
        <w:rPr>
          <w:rFonts w:ascii="楷体_GB2312" w:eastAsia="楷体_GB2312" w:hAnsiTheme="minorEastAsia"/>
          <w:kern w:val="2"/>
          <w:sz w:val="32"/>
        </w:rPr>
      </w:pPr>
      <w:bookmarkStart w:id="40" w:name="_Toc789"/>
      <w:r>
        <w:rPr>
          <w:rFonts w:ascii="楷体_GB2312" w:eastAsia="楷体_GB2312" w:hAnsiTheme="minorEastAsia" w:hint="eastAsia"/>
          <w:kern w:val="2"/>
          <w:sz w:val="32"/>
        </w:rPr>
        <w:t>（四）绩效评价原则</w:t>
      </w:r>
      <w:bookmarkEnd w:id="40"/>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价值导向原则：财政支出绩效评价体系应能够反映财政支出的经济性、效益性、有效性原则，体现财政部门和项目主管部门的价值导向。</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2.</w:t>
      </w:r>
      <w:r>
        <w:rPr>
          <w:rFonts w:ascii="仿宋_GB2312" w:eastAsia="仿宋_GB2312" w:cs="DengXian-Regular" w:hint="eastAsia"/>
          <w:sz w:val="32"/>
          <w:szCs w:val="32"/>
        </w:rPr>
        <w:t>重要性原则：根据指标在整个指标体系中的地位和作用进行筛选，选择最具代表性、最能反映评价要求的指标。</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hint="eastAsia"/>
          <w:sz w:val="32"/>
          <w:szCs w:val="32"/>
        </w:rPr>
        <w:t>综合性原则：将定性指标和定量指标相结合，定性分析是定量分析的基础，定量分析是定性分析的深化，两者相结合系统反映财政支出所产生的社会效益。</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w:t>
      </w:r>
      <w:r>
        <w:rPr>
          <w:rFonts w:ascii="仿宋_GB2312" w:eastAsia="仿宋_GB2312" w:cs="DengXian-Regular" w:hint="eastAsia"/>
          <w:sz w:val="32"/>
          <w:szCs w:val="32"/>
        </w:rPr>
        <w:t>经济性原则：指标的选取要考虑现实条件及可操作性，数据的获得应符合成本效益原则，在合理成本的基础上收集信息。</w:t>
      </w:r>
    </w:p>
    <w:p w:rsidR="00D36435" w:rsidRDefault="00C05A13">
      <w:pPr>
        <w:pStyle w:val="3"/>
        <w:spacing w:before="0" w:after="0"/>
        <w:ind w:firstLineChars="200" w:firstLine="643"/>
        <w:jc w:val="both"/>
        <w:rPr>
          <w:rFonts w:ascii="楷体_GB2312" w:eastAsia="楷体_GB2312" w:hAnsiTheme="minorEastAsia"/>
          <w:kern w:val="2"/>
          <w:sz w:val="32"/>
        </w:rPr>
      </w:pPr>
      <w:bookmarkStart w:id="41" w:name="_Toc8171"/>
      <w:r>
        <w:rPr>
          <w:rFonts w:ascii="楷体_GB2312" w:eastAsia="楷体_GB2312" w:hAnsiTheme="minorEastAsia" w:hint="eastAsia"/>
          <w:kern w:val="2"/>
          <w:sz w:val="32"/>
        </w:rPr>
        <w:t>（五）</w:t>
      </w:r>
      <w:bookmarkStart w:id="42" w:name="_Toc465149509"/>
      <w:bookmarkEnd w:id="38"/>
      <w:r>
        <w:rPr>
          <w:rFonts w:ascii="楷体_GB2312" w:eastAsia="楷体_GB2312" w:hAnsiTheme="minorEastAsia" w:hint="eastAsia"/>
          <w:kern w:val="2"/>
          <w:sz w:val="32"/>
        </w:rPr>
        <w:t>绩效评价方法</w:t>
      </w:r>
      <w:bookmarkEnd w:id="39"/>
      <w:bookmarkEnd w:id="41"/>
      <w:bookmarkEnd w:id="42"/>
    </w:p>
    <w:p w:rsidR="00D36435" w:rsidRDefault="00C05A13">
      <w:pPr>
        <w:spacing w:after="0" w:line="360" w:lineRule="auto"/>
        <w:ind w:firstLineChars="200" w:firstLine="640"/>
        <w:jc w:val="both"/>
        <w:textAlignment w:val="baseline"/>
        <w:rPr>
          <w:rFonts w:ascii="仿宋_GB2312" w:eastAsia="仿宋_GB2312" w:cs="DengXian-Regular"/>
          <w:sz w:val="32"/>
          <w:szCs w:val="32"/>
        </w:rPr>
      </w:pPr>
      <w:bookmarkStart w:id="43" w:name="_Toc422314152"/>
      <w:bookmarkStart w:id="44" w:name="_Toc421623217"/>
      <w:bookmarkStart w:id="45" w:name="_Toc465149510"/>
      <w:bookmarkStart w:id="46" w:name="_Toc492652780"/>
      <w:r>
        <w:rPr>
          <w:rFonts w:ascii="仿宋_GB2312" w:eastAsia="仿宋_GB2312" w:cs="DengXian-Regular"/>
          <w:sz w:val="32"/>
          <w:szCs w:val="32"/>
        </w:rPr>
        <w:t>本次评价采取</w:t>
      </w:r>
      <w:r>
        <w:rPr>
          <w:rFonts w:ascii="仿宋_GB2312" w:eastAsia="仿宋_GB2312" w:cs="DengXian-Regular" w:hint="eastAsia"/>
          <w:sz w:val="32"/>
          <w:szCs w:val="32"/>
        </w:rPr>
        <w:t>目标比较法、</w:t>
      </w:r>
      <w:r>
        <w:rPr>
          <w:rFonts w:ascii="仿宋_GB2312" w:eastAsia="仿宋_GB2312" w:cs="DengXian-Regular"/>
          <w:sz w:val="32"/>
          <w:szCs w:val="32"/>
        </w:rPr>
        <w:t>定量和定性评价相结合和综合评价相结合</w:t>
      </w:r>
      <w:r>
        <w:rPr>
          <w:rFonts w:ascii="仿宋_GB2312" w:eastAsia="仿宋_GB2312" w:cs="DengXian-Regular" w:hint="eastAsia"/>
          <w:sz w:val="32"/>
          <w:szCs w:val="32"/>
        </w:rPr>
        <w:t>的方式</w:t>
      </w:r>
      <w:r>
        <w:rPr>
          <w:rFonts w:ascii="仿宋_GB2312" w:eastAsia="仿宋_GB2312" w:cs="DengXian-Regular"/>
          <w:sz w:val="32"/>
          <w:szCs w:val="32"/>
        </w:rPr>
        <w:t>，运用审查、</w:t>
      </w:r>
      <w:r>
        <w:rPr>
          <w:rFonts w:ascii="仿宋_GB2312" w:eastAsia="仿宋_GB2312" w:cs="DengXian-Regular" w:hint="eastAsia"/>
          <w:sz w:val="32"/>
          <w:szCs w:val="32"/>
        </w:rPr>
        <w:t>询问查证和问卷调查</w:t>
      </w:r>
      <w:r>
        <w:rPr>
          <w:rFonts w:ascii="仿宋_GB2312" w:eastAsia="仿宋_GB2312" w:cs="DengXian-Regular"/>
          <w:sz w:val="32"/>
          <w:szCs w:val="32"/>
        </w:rPr>
        <w:t>等方法开展</w:t>
      </w:r>
      <w:r>
        <w:rPr>
          <w:rFonts w:ascii="仿宋_GB2312" w:eastAsia="仿宋_GB2312" w:cs="DengXian-Regular" w:hint="eastAsia"/>
          <w:sz w:val="32"/>
          <w:szCs w:val="32"/>
        </w:rPr>
        <w:t>绩效</w:t>
      </w:r>
      <w:r>
        <w:rPr>
          <w:rFonts w:ascii="仿宋_GB2312" w:eastAsia="仿宋_GB2312" w:cs="DengXian-Regular"/>
          <w:sz w:val="32"/>
          <w:szCs w:val="32"/>
        </w:rPr>
        <w:t>评价工作。</w:t>
      </w:r>
      <w:bookmarkEnd w:id="43"/>
      <w:bookmarkEnd w:id="44"/>
    </w:p>
    <w:p w:rsidR="00D36435" w:rsidRDefault="00C05A13">
      <w:pPr>
        <w:spacing w:after="0" w:line="360" w:lineRule="auto"/>
        <w:ind w:firstLineChars="200" w:firstLine="640"/>
        <w:jc w:val="both"/>
        <w:textAlignment w:val="baseline"/>
        <w:rPr>
          <w:rFonts w:ascii="仿宋_GB2312" w:eastAsia="仿宋_GB2312" w:cs="DengXian-Regular"/>
          <w:sz w:val="32"/>
          <w:szCs w:val="32"/>
        </w:rPr>
      </w:pPr>
      <w:bookmarkStart w:id="47" w:name="_Toc422314153"/>
      <w:bookmarkStart w:id="48" w:name="_Toc421623218"/>
      <w:r>
        <w:rPr>
          <w:rFonts w:ascii="仿宋_GB2312" w:eastAsia="仿宋_GB2312" w:cs="DengXian-Regular"/>
          <w:sz w:val="32"/>
          <w:szCs w:val="32"/>
        </w:rPr>
        <w:t>1</w:t>
      </w:r>
      <w:r>
        <w:rPr>
          <w:rFonts w:ascii="仿宋_GB2312" w:eastAsia="仿宋_GB2312" w:cs="DengXian-Regular" w:hint="eastAsia"/>
          <w:sz w:val="32"/>
          <w:szCs w:val="32"/>
        </w:rPr>
        <w:t>.</w:t>
      </w:r>
      <w:r>
        <w:rPr>
          <w:rFonts w:ascii="仿宋_GB2312" w:eastAsia="仿宋_GB2312" w:cs="DengXian-Regular"/>
          <w:sz w:val="32"/>
          <w:szCs w:val="32"/>
        </w:rPr>
        <w:t>审查法：通过审查被评价单位的</w:t>
      </w:r>
      <w:r>
        <w:rPr>
          <w:rFonts w:ascii="仿宋_GB2312" w:eastAsia="仿宋_GB2312" w:cs="DengXian-Regular" w:hint="eastAsia"/>
          <w:sz w:val="32"/>
          <w:szCs w:val="32"/>
        </w:rPr>
        <w:t>预算文本</w:t>
      </w:r>
      <w:r>
        <w:rPr>
          <w:rFonts w:ascii="仿宋_GB2312" w:eastAsia="仿宋_GB2312" w:cs="DengXian-Regular"/>
          <w:sz w:val="32"/>
          <w:szCs w:val="32"/>
        </w:rPr>
        <w:t>、</w:t>
      </w:r>
      <w:r>
        <w:rPr>
          <w:rFonts w:ascii="仿宋_GB2312" w:eastAsia="仿宋_GB2312" w:cs="DengXian-Regular" w:hint="eastAsia"/>
          <w:sz w:val="32"/>
          <w:szCs w:val="32"/>
        </w:rPr>
        <w:t>决算文本</w:t>
      </w:r>
      <w:r>
        <w:rPr>
          <w:rFonts w:ascii="仿宋_GB2312" w:eastAsia="仿宋_GB2312" w:cs="DengXian-Regular"/>
          <w:sz w:val="32"/>
          <w:szCs w:val="32"/>
        </w:rPr>
        <w:t>、</w:t>
      </w:r>
      <w:r>
        <w:rPr>
          <w:rFonts w:ascii="仿宋_GB2312" w:eastAsia="仿宋_GB2312" w:cs="DengXian-Regular" w:hint="eastAsia"/>
          <w:sz w:val="32"/>
          <w:szCs w:val="32"/>
        </w:rPr>
        <w:t>会计账簿、支出凭证、项目完成情况</w:t>
      </w:r>
      <w:r>
        <w:rPr>
          <w:rFonts w:ascii="仿宋_GB2312" w:eastAsia="仿宋_GB2312" w:cs="DengXian-Regular"/>
          <w:sz w:val="32"/>
          <w:szCs w:val="32"/>
        </w:rPr>
        <w:t>等</w:t>
      </w:r>
      <w:r>
        <w:rPr>
          <w:rFonts w:ascii="仿宋_GB2312" w:eastAsia="仿宋_GB2312" w:cs="DengXian-Regular" w:hint="eastAsia"/>
          <w:sz w:val="32"/>
          <w:szCs w:val="32"/>
        </w:rPr>
        <w:t>相关</w:t>
      </w:r>
      <w:r>
        <w:rPr>
          <w:rFonts w:ascii="仿宋_GB2312" w:eastAsia="仿宋_GB2312" w:cs="DengXian-Regular"/>
          <w:sz w:val="32"/>
          <w:szCs w:val="32"/>
        </w:rPr>
        <w:t>资料，分析资金</w:t>
      </w:r>
      <w:r>
        <w:rPr>
          <w:rFonts w:ascii="仿宋_GB2312" w:eastAsia="仿宋_GB2312" w:cs="DengXian-Regular" w:hint="eastAsia"/>
          <w:sz w:val="32"/>
          <w:szCs w:val="32"/>
        </w:rPr>
        <w:t>收</w:t>
      </w:r>
      <w:r>
        <w:rPr>
          <w:rFonts w:ascii="仿宋_GB2312" w:eastAsia="仿宋_GB2312" w:cs="DengXian-Regular"/>
          <w:sz w:val="32"/>
          <w:szCs w:val="32"/>
        </w:rPr>
        <w:t>支的合理性</w:t>
      </w:r>
      <w:r>
        <w:rPr>
          <w:rFonts w:ascii="仿宋_GB2312" w:eastAsia="仿宋_GB2312" w:cs="DengXian-Regular" w:hint="eastAsia"/>
          <w:sz w:val="32"/>
          <w:szCs w:val="32"/>
        </w:rPr>
        <w:t>和</w:t>
      </w:r>
      <w:r>
        <w:rPr>
          <w:rFonts w:ascii="仿宋_GB2312" w:eastAsia="仿宋_GB2312" w:cs="DengXian-Regular"/>
          <w:sz w:val="32"/>
          <w:szCs w:val="32"/>
        </w:rPr>
        <w:t>合</w:t>
      </w:r>
      <w:proofErr w:type="gramStart"/>
      <w:r>
        <w:rPr>
          <w:rFonts w:ascii="仿宋_GB2312" w:eastAsia="仿宋_GB2312" w:cs="DengXian-Regular"/>
          <w:sz w:val="32"/>
          <w:szCs w:val="32"/>
        </w:rPr>
        <w:t>规</w:t>
      </w:r>
      <w:proofErr w:type="gramEnd"/>
      <w:r>
        <w:rPr>
          <w:rFonts w:ascii="仿宋_GB2312" w:eastAsia="仿宋_GB2312" w:cs="DengXian-Regular"/>
          <w:sz w:val="32"/>
          <w:szCs w:val="32"/>
        </w:rPr>
        <w:t>性</w:t>
      </w:r>
      <w:r>
        <w:rPr>
          <w:rFonts w:ascii="仿宋_GB2312" w:eastAsia="仿宋_GB2312" w:cs="DengXian-Regular" w:hint="eastAsia"/>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rsidR="00D36435" w:rsidRDefault="00C05A13">
      <w:pPr>
        <w:spacing w:after="0" w:line="360" w:lineRule="auto"/>
        <w:ind w:firstLineChars="200" w:firstLine="640"/>
        <w:jc w:val="both"/>
        <w:textAlignment w:val="baseline"/>
        <w:rPr>
          <w:rFonts w:ascii="仿宋_GB2312" w:eastAsia="仿宋_GB2312" w:cs="DengXian-Regular"/>
          <w:sz w:val="32"/>
          <w:szCs w:val="32"/>
        </w:rPr>
      </w:pPr>
      <w:bookmarkStart w:id="49" w:name="_Toc421623220"/>
      <w:bookmarkStart w:id="50" w:name="_Toc422314155"/>
      <w:r>
        <w:rPr>
          <w:rFonts w:ascii="仿宋_GB2312" w:eastAsia="仿宋_GB2312" w:cs="DengXian-Regular" w:hint="eastAsia"/>
          <w:sz w:val="32"/>
          <w:szCs w:val="32"/>
        </w:rPr>
        <w:t>2.</w:t>
      </w:r>
      <w:r>
        <w:rPr>
          <w:rFonts w:ascii="仿宋_GB2312" w:eastAsia="仿宋_GB2312" w:cs="DengXian-Regular" w:hint="eastAsia"/>
          <w:sz w:val="32"/>
          <w:szCs w:val="32"/>
        </w:rPr>
        <w:t>询问查证</w:t>
      </w:r>
      <w:r>
        <w:rPr>
          <w:rFonts w:ascii="仿宋_GB2312" w:eastAsia="仿宋_GB2312" w:cs="DengXian-Regular"/>
          <w:sz w:val="32"/>
          <w:szCs w:val="32"/>
        </w:rPr>
        <w:t>法：</w:t>
      </w:r>
      <w:r>
        <w:rPr>
          <w:rFonts w:ascii="仿宋_GB2312" w:eastAsia="仿宋_GB2312" w:cs="DengXian-Regular" w:hint="eastAsia"/>
          <w:sz w:val="32"/>
          <w:szCs w:val="32"/>
        </w:rPr>
        <w:t>在比较分析相关资料的基础上，通过询问的形式，核查项目资料是否真实、合理，从而对部门整体支出情况</w:t>
      </w:r>
      <w:proofErr w:type="gramStart"/>
      <w:r>
        <w:rPr>
          <w:rFonts w:ascii="仿宋_GB2312" w:eastAsia="仿宋_GB2312" w:cs="DengXian-Regular" w:hint="eastAsia"/>
          <w:sz w:val="32"/>
          <w:szCs w:val="32"/>
        </w:rPr>
        <w:t>作出</w:t>
      </w:r>
      <w:proofErr w:type="gramEnd"/>
      <w:r>
        <w:rPr>
          <w:rFonts w:ascii="仿宋_GB2312" w:eastAsia="仿宋_GB2312" w:cs="DengXian-Regular" w:hint="eastAsia"/>
          <w:sz w:val="32"/>
          <w:szCs w:val="32"/>
        </w:rPr>
        <w:t>初步的判断和评价</w:t>
      </w:r>
      <w:r>
        <w:rPr>
          <w:rFonts w:ascii="仿宋_GB2312" w:eastAsia="仿宋_GB2312" w:cs="DengXian-Regular"/>
          <w:sz w:val="32"/>
          <w:szCs w:val="32"/>
        </w:rPr>
        <w:t>。</w:t>
      </w:r>
      <w:bookmarkEnd w:id="49"/>
      <w:bookmarkEnd w:id="50"/>
    </w:p>
    <w:p w:rsidR="00D36435" w:rsidRDefault="00C05A13">
      <w:pPr>
        <w:spacing w:after="0" w:line="360" w:lineRule="auto"/>
        <w:ind w:firstLineChars="200" w:firstLine="640"/>
        <w:jc w:val="both"/>
        <w:textAlignment w:val="baseline"/>
        <w:rPr>
          <w:rFonts w:ascii="仿宋_GB2312" w:eastAsia="仿宋_GB2312" w:cs="DengXian-Regular"/>
          <w:sz w:val="32"/>
          <w:szCs w:val="32"/>
        </w:rPr>
      </w:pPr>
      <w:bookmarkStart w:id="51" w:name="_Toc421623221"/>
      <w:bookmarkStart w:id="52" w:name="_Toc422314156"/>
      <w:r>
        <w:rPr>
          <w:rFonts w:ascii="仿宋_GB2312" w:eastAsia="仿宋_GB2312" w:cs="DengXian-Regular" w:hint="eastAsia"/>
          <w:sz w:val="32"/>
          <w:szCs w:val="32"/>
        </w:rPr>
        <w:lastRenderedPageBreak/>
        <w:t>3.</w:t>
      </w:r>
      <w:r>
        <w:rPr>
          <w:rFonts w:ascii="仿宋_GB2312" w:eastAsia="仿宋_GB2312" w:cs="DengXian-Regular" w:hint="eastAsia"/>
          <w:sz w:val="32"/>
          <w:szCs w:val="32"/>
        </w:rPr>
        <w:t>问卷调查</w:t>
      </w:r>
      <w:r>
        <w:rPr>
          <w:rFonts w:ascii="仿宋_GB2312" w:eastAsia="仿宋_GB2312" w:cs="DengXian-Regular"/>
          <w:sz w:val="32"/>
          <w:szCs w:val="32"/>
        </w:rPr>
        <w:t>法：通过</w:t>
      </w:r>
      <w:r>
        <w:rPr>
          <w:rFonts w:ascii="仿宋_GB2312" w:eastAsia="仿宋_GB2312" w:cs="DengXian-Regular" w:hint="eastAsia"/>
          <w:sz w:val="32"/>
          <w:szCs w:val="32"/>
        </w:rPr>
        <w:t>设计调查问卷，在一定范围内随机发放，并收集分析调查问卷，</w:t>
      </w:r>
      <w:r>
        <w:rPr>
          <w:rFonts w:ascii="仿宋_GB2312" w:eastAsia="仿宋_GB2312" w:cs="DengXian-Regular"/>
          <w:sz w:val="32"/>
          <w:szCs w:val="32"/>
        </w:rPr>
        <w:t>对财政支出的效果进行</w:t>
      </w:r>
      <w:r>
        <w:rPr>
          <w:rFonts w:ascii="仿宋_GB2312" w:eastAsia="仿宋_GB2312" w:cs="DengXian-Regular" w:hint="eastAsia"/>
          <w:sz w:val="32"/>
          <w:szCs w:val="32"/>
        </w:rPr>
        <w:t>评价</w:t>
      </w:r>
      <w:r>
        <w:rPr>
          <w:rFonts w:ascii="仿宋_GB2312" w:eastAsia="仿宋_GB2312" w:cs="DengXian-Regular"/>
          <w:sz w:val="32"/>
          <w:szCs w:val="32"/>
        </w:rPr>
        <w:t>，</w:t>
      </w:r>
      <w:r>
        <w:rPr>
          <w:rFonts w:ascii="仿宋_GB2312" w:eastAsia="仿宋_GB2312" w:cs="DengXian-Regular" w:hint="eastAsia"/>
          <w:sz w:val="32"/>
          <w:szCs w:val="32"/>
        </w:rPr>
        <w:t>了解服务对象对部门履职效果</w:t>
      </w:r>
      <w:r>
        <w:rPr>
          <w:rFonts w:ascii="仿宋_GB2312" w:eastAsia="仿宋_GB2312" w:cs="DengXian-Regular"/>
          <w:sz w:val="32"/>
          <w:szCs w:val="32"/>
        </w:rPr>
        <w:t>的满意</w:t>
      </w:r>
      <w:r>
        <w:rPr>
          <w:rFonts w:ascii="仿宋_GB2312" w:eastAsia="仿宋_GB2312" w:cs="DengXian-Regular" w:hint="eastAsia"/>
          <w:sz w:val="32"/>
          <w:szCs w:val="32"/>
        </w:rPr>
        <w:t>程</w:t>
      </w:r>
      <w:r>
        <w:rPr>
          <w:rFonts w:ascii="仿宋_GB2312" w:eastAsia="仿宋_GB2312" w:cs="DengXian-Regular"/>
          <w:sz w:val="32"/>
          <w:szCs w:val="32"/>
        </w:rPr>
        <w:t>度。</w:t>
      </w:r>
      <w:bookmarkStart w:id="53" w:name="_Toc20821"/>
      <w:bookmarkEnd w:id="51"/>
      <w:bookmarkEnd w:id="52"/>
    </w:p>
    <w:p w:rsidR="00D36435" w:rsidRDefault="00C05A13">
      <w:pPr>
        <w:spacing w:after="0" w:line="360" w:lineRule="auto"/>
        <w:ind w:firstLineChars="200" w:firstLine="643"/>
        <w:jc w:val="both"/>
        <w:textAlignment w:val="baseline"/>
        <w:rPr>
          <w:rFonts w:ascii="楷体_GB2312" w:eastAsia="楷体_GB2312" w:hAnsiTheme="minorEastAsia"/>
          <w:b/>
          <w:bCs/>
          <w:kern w:val="2"/>
          <w:sz w:val="32"/>
        </w:rPr>
      </w:pPr>
      <w:r>
        <w:rPr>
          <w:rFonts w:ascii="楷体_GB2312" w:eastAsia="楷体_GB2312" w:hAnsiTheme="minorEastAsia" w:hint="eastAsia"/>
          <w:b/>
          <w:bCs/>
          <w:kern w:val="2"/>
          <w:sz w:val="32"/>
        </w:rPr>
        <w:t>（六）绩效评价工作过程</w:t>
      </w:r>
      <w:bookmarkEnd w:id="45"/>
      <w:bookmarkEnd w:id="46"/>
      <w:bookmarkEnd w:id="53"/>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本次绩效评价工作经过了前期准备、绩效评价实施方案和指标体系制定、组织实施、绩效评价报告撰写四个阶段。</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前期准备阶段</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经与</w:t>
      </w:r>
      <w:r>
        <w:rPr>
          <w:rFonts w:ascii="仿宋_GB2312" w:eastAsia="仿宋_GB2312" w:cs="DengXian-Regular" w:hint="eastAsia"/>
          <w:sz w:val="32"/>
          <w:szCs w:val="32"/>
        </w:rPr>
        <w:t>区法</w:t>
      </w:r>
      <w:r>
        <w:rPr>
          <w:rFonts w:ascii="仿宋_GB2312" w:eastAsia="仿宋_GB2312" w:cs="DengXian-Regular" w:hint="eastAsia"/>
          <w:sz w:val="32"/>
          <w:szCs w:val="32"/>
        </w:rPr>
        <w:t>院各部门充分沟通，并充分收集相关资料，主要包括部门职责、工作活动、预决算文本、相关管理制度、资金使用等相关资料，为制定绩效评价实施方案和指标体系奠定了基础。</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制定绩效评价实施方案和体系</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基于相关资料的收集，制定绩效评价实施方案和体系</w:t>
      </w:r>
      <w:r>
        <w:rPr>
          <w:rFonts w:ascii="仿宋_GB2312" w:eastAsia="仿宋_GB2312" w:cs="DengXian-Regular" w:hint="eastAsia"/>
          <w:sz w:val="32"/>
          <w:szCs w:val="32"/>
        </w:rPr>
        <w:t>,</w:t>
      </w:r>
      <w:r>
        <w:rPr>
          <w:rFonts w:ascii="仿宋_GB2312" w:eastAsia="仿宋_GB2312" w:cs="DengXian-Regular" w:hint="eastAsia"/>
          <w:sz w:val="32"/>
          <w:szCs w:val="32"/>
        </w:rPr>
        <w:t>确定最终方案。</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hint="eastAsia"/>
          <w:sz w:val="32"/>
          <w:szCs w:val="32"/>
        </w:rPr>
        <w:t>组织实施阶段</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绩效评价实施方案和指标体系，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w:t>
      </w:r>
      <w:r>
        <w:rPr>
          <w:rFonts w:ascii="仿宋_GB2312" w:eastAsia="仿宋_GB2312" w:cs="DengXian-Regular" w:hint="eastAsia"/>
          <w:sz w:val="32"/>
          <w:szCs w:val="32"/>
        </w:rPr>
        <w:t>；对一些</w:t>
      </w:r>
      <w:r>
        <w:rPr>
          <w:rFonts w:ascii="仿宋_GB2312" w:eastAsia="仿宋_GB2312" w:cs="DengXian-Regular" w:hint="eastAsia"/>
          <w:sz w:val="32"/>
          <w:szCs w:val="32"/>
        </w:rPr>
        <w:lastRenderedPageBreak/>
        <w:t>专业的问题咨询相关专家等。根据收集的数据、资料进行核对、比较、计算，对部门整体支出进行评分。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w:t>
      </w:r>
      <w:r>
        <w:rPr>
          <w:rFonts w:ascii="仿宋_GB2312" w:eastAsia="仿宋_GB2312" w:cs="DengXian-Regular" w:hint="eastAsia"/>
          <w:sz w:val="32"/>
          <w:szCs w:val="32"/>
        </w:rPr>
        <w:t>撰写绩效评价报告</w:t>
      </w:r>
      <w:bookmarkStart w:id="54" w:name="_Toc465149511"/>
      <w:bookmarkStart w:id="55" w:name="_Toc492652781"/>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在完成对各评价指标评分定级的基础上，开始进行报告撰写工作。</w:t>
      </w:r>
    </w:p>
    <w:p w:rsidR="00D36435" w:rsidRDefault="00C05A13">
      <w:pPr>
        <w:pStyle w:val="2"/>
        <w:spacing w:before="0" w:after="0" w:line="360" w:lineRule="auto"/>
        <w:ind w:firstLineChars="200" w:firstLine="643"/>
        <w:rPr>
          <w:rFonts w:ascii="黑体"/>
        </w:rPr>
      </w:pPr>
      <w:bookmarkStart w:id="56" w:name="_Toc6467"/>
      <w:r>
        <w:rPr>
          <w:rFonts w:ascii="黑体" w:hint="eastAsia"/>
        </w:rPr>
        <w:t>四、</w:t>
      </w:r>
      <w:bookmarkStart w:id="57" w:name="_Toc492652782"/>
      <w:bookmarkEnd w:id="54"/>
      <w:bookmarkEnd w:id="55"/>
      <w:r>
        <w:rPr>
          <w:rFonts w:ascii="黑体" w:hint="eastAsia"/>
        </w:rPr>
        <w:t>绩效评价评分情况</w:t>
      </w:r>
      <w:bookmarkEnd w:id="56"/>
    </w:p>
    <w:bookmarkEnd w:id="57"/>
    <w:p w:rsidR="00D36435" w:rsidRDefault="00C05A13">
      <w:pPr>
        <w:spacing w:after="0" w:line="360" w:lineRule="auto"/>
        <w:ind w:firstLineChars="200" w:firstLine="640"/>
        <w:jc w:val="both"/>
        <w:textAlignment w:val="baseline"/>
        <w:rPr>
          <w:rFonts w:ascii="仿宋_GB2312" w:eastAsia="仿宋_GB2312" w:hAnsiTheme="minorEastAsia" w:cs="Times New Roman"/>
          <w:color w:val="FF0000"/>
          <w:sz w:val="32"/>
          <w:szCs w:val="32"/>
          <w:u w:color="000000"/>
        </w:rPr>
      </w:pPr>
      <w:r>
        <w:rPr>
          <w:rFonts w:ascii="仿宋_GB2312" w:eastAsia="仿宋_GB2312" w:cs="DengXian-Regular" w:hint="eastAsia"/>
          <w:sz w:val="32"/>
          <w:szCs w:val="32"/>
        </w:rPr>
        <w:t>区法院部门整体支出绩效评价总得分为</w:t>
      </w:r>
      <w:r>
        <w:rPr>
          <w:rFonts w:ascii="仿宋_GB2312" w:eastAsia="仿宋_GB2312" w:cs="DengXian-Regular"/>
          <w:sz w:val="32"/>
          <w:szCs w:val="32"/>
        </w:rPr>
        <w:t>88.73</w:t>
      </w:r>
      <w:r>
        <w:rPr>
          <w:rFonts w:ascii="仿宋_GB2312" w:eastAsia="仿宋_GB2312" w:cs="DengXian-Regular" w:hint="eastAsia"/>
          <w:sz w:val="32"/>
          <w:szCs w:val="32"/>
        </w:rPr>
        <w:t>分，综合绩效评价等级为“</w:t>
      </w:r>
      <w:r>
        <w:rPr>
          <w:rFonts w:ascii="仿宋_GB2312" w:eastAsia="仿宋_GB2312" w:cs="DengXian-Regular" w:hint="eastAsia"/>
          <w:sz w:val="32"/>
          <w:szCs w:val="32"/>
        </w:rPr>
        <w:t>良</w:t>
      </w:r>
      <w:r>
        <w:rPr>
          <w:rFonts w:ascii="仿宋_GB2312" w:eastAsia="仿宋_GB2312" w:cs="DengXian-Regular" w:hint="eastAsia"/>
          <w:sz w:val="32"/>
          <w:szCs w:val="32"/>
        </w:rPr>
        <w:t>”。各项得分情况如下</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color w:val="FF0000"/>
          <w:sz w:val="32"/>
          <w:szCs w:val="32"/>
          <w:u w:color="000000"/>
        </w:rPr>
        <w:t xml:space="preserve"> </w:t>
      </w:r>
    </w:p>
    <w:p w:rsidR="00D36435" w:rsidRDefault="00C05A13">
      <w:pPr>
        <w:pStyle w:val="3"/>
        <w:spacing w:before="0" w:after="0"/>
        <w:ind w:firstLineChars="200" w:firstLine="643"/>
        <w:jc w:val="both"/>
        <w:rPr>
          <w:rFonts w:ascii="楷体_GB2312" w:eastAsia="楷体_GB2312" w:hAnsiTheme="minorEastAsia"/>
          <w:kern w:val="2"/>
          <w:sz w:val="32"/>
        </w:rPr>
      </w:pPr>
      <w:bookmarkStart w:id="58" w:name="_Toc492652783"/>
      <w:bookmarkStart w:id="59" w:name="_Toc4390"/>
      <w:r>
        <w:rPr>
          <w:rFonts w:ascii="楷体_GB2312" w:eastAsia="楷体_GB2312" w:hAnsiTheme="minorEastAsia" w:hint="eastAsia"/>
          <w:kern w:val="2"/>
          <w:sz w:val="32"/>
        </w:rPr>
        <w:t>（一）</w:t>
      </w:r>
      <w:bookmarkEnd w:id="58"/>
      <w:r>
        <w:rPr>
          <w:rFonts w:ascii="楷体_GB2312" w:eastAsia="楷体_GB2312" w:hAnsiTheme="minorEastAsia" w:hint="eastAsia"/>
          <w:kern w:val="2"/>
          <w:sz w:val="32"/>
        </w:rPr>
        <w:t>投入（</w:t>
      </w:r>
      <w:r>
        <w:rPr>
          <w:rFonts w:ascii="楷体_GB2312" w:eastAsia="楷体_GB2312" w:hAnsiTheme="minorEastAsia" w:hint="eastAsia"/>
          <w:kern w:val="2"/>
          <w:sz w:val="32"/>
        </w:rPr>
        <w:t>12</w:t>
      </w:r>
      <w:r>
        <w:rPr>
          <w:rFonts w:ascii="楷体_GB2312" w:eastAsia="楷体_GB2312" w:hAnsiTheme="minorEastAsia" w:hint="eastAsia"/>
          <w:kern w:val="2"/>
          <w:sz w:val="32"/>
        </w:rPr>
        <w:t>分）</w:t>
      </w:r>
      <w:bookmarkEnd w:id="59"/>
    </w:p>
    <w:p w:rsidR="00D36435" w:rsidRDefault="00C05A13">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ascii="仿宋_GB2312" w:eastAsia="仿宋_GB2312" w:hAnsiTheme="minorEastAsia" w:cs="Times New Roman" w:hint="eastAsia"/>
          <w:sz w:val="32"/>
          <w:szCs w:val="32"/>
          <w:u w:color="000000"/>
        </w:rPr>
        <w:tab/>
      </w:r>
    </w:p>
    <w:p w:rsidR="00D36435" w:rsidRDefault="00C05A13">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w:t>
      </w:r>
      <w:r>
        <w:rPr>
          <w:rFonts w:asciiTheme="minorEastAsia" w:eastAsiaTheme="minorEastAsia" w:hAnsiTheme="minorEastAsia" w:cstheme="minorEastAsia" w:hint="eastAsia"/>
          <w:b/>
          <w:bCs/>
          <w:sz w:val="32"/>
          <w:szCs w:val="32"/>
          <w:u w:color="000000"/>
        </w:rPr>
        <w:t xml:space="preserve">2  </w:t>
      </w:r>
      <w:r>
        <w:rPr>
          <w:rFonts w:asciiTheme="minorEastAsia" w:eastAsiaTheme="minorEastAsia" w:hAnsiTheme="minorEastAsia" w:cstheme="minorEastAsia" w:hint="eastAsia"/>
          <w:b/>
          <w:bCs/>
          <w:sz w:val="32"/>
          <w:szCs w:val="32"/>
          <w:u w:color="000000"/>
        </w:rPr>
        <w:t>投入指标及得分情况表</w:t>
      </w:r>
    </w:p>
    <w:tbl>
      <w:tblPr>
        <w:tblW w:w="708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418"/>
        <w:gridCol w:w="1701"/>
        <w:gridCol w:w="1276"/>
        <w:gridCol w:w="1134"/>
      </w:tblGrid>
      <w:tr w:rsidR="00D36435">
        <w:trPr>
          <w:trHeight w:hRule="exact" w:val="454"/>
        </w:trPr>
        <w:tc>
          <w:tcPr>
            <w:tcW w:w="1559" w:type="dxa"/>
            <w:vAlign w:val="center"/>
          </w:tcPr>
          <w:p w:rsidR="00D36435" w:rsidRDefault="00C05A13">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一级指标</w:t>
            </w:r>
          </w:p>
        </w:tc>
        <w:tc>
          <w:tcPr>
            <w:tcW w:w="1418" w:type="dxa"/>
            <w:vAlign w:val="center"/>
          </w:tcPr>
          <w:p w:rsidR="00D36435" w:rsidRDefault="00C05A13">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二级指标</w:t>
            </w:r>
          </w:p>
        </w:tc>
        <w:tc>
          <w:tcPr>
            <w:tcW w:w="1701" w:type="dxa"/>
            <w:vAlign w:val="center"/>
          </w:tcPr>
          <w:p w:rsidR="00D36435" w:rsidRDefault="00C05A13">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三级指标</w:t>
            </w:r>
          </w:p>
        </w:tc>
        <w:tc>
          <w:tcPr>
            <w:tcW w:w="1276" w:type="dxa"/>
            <w:vAlign w:val="center"/>
          </w:tcPr>
          <w:p w:rsidR="00D36435" w:rsidRDefault="00C05A13">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分值权重</w:t>
            </w:r>
          </w:p>
        </w:tc>
        <w:tc>
          <w:tcPr>
            <w:tcW w:w="1134" w:type="dxa"/>
            <w:vAlign w:val="center"/>
          </w:tcPr>
          <w:p w:rsidR="00D36435" w:rsidRDefault="00C05A13">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得分</w:t>
            </w:r>
          </w:p>
        </w:tc>
      </w:tr>
      <w:tr w:rsidR="00D36435">
        <w:trPr>
          <w:trHeight w:hRule="exact" w:val="454"/>
        </w:trPr>
        <w:tc>
          <w:tcPr>
            <w:tcW w:w="1559" w:type="dxa"/>
            <w:vMerge w:val="restart"/>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投入</w:t>
            </w:r>
          </w:p>
          <w:p w:rsidR="00D36435" w:rsidRDefault="00C05A13">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12</w:t>
            </w:r>
            <w:r>
              <w:rPr>
                <w:rFonts w:asciiTheme="minorEastAsia" w:eastAsiaTheme="minorEastAsia" w:hAnsiTheme="minorEastAsia" w:cs="宋体" w:hint="eastAsia"/>
                <w:sz w:val="21"/>
                <w:szCs w:val="21"/>
              </w:rPr>
              <w:t>分）</w:t>
            </w:r>
          </w:p>
        </w:tc>
        <w:tc>
          <w:tcPr>
            <w:tcW w:w="1418" w:type="dxa"/>
            <w:vMerge w:val="restart"/>
            <w:vAlign w:val="center"/>
          </w:tcPr>
          <w:p w:rsidR="00D36435" w:rsidRDefault="00C05A13">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绩效目标设定（</w:t>
            </w:r>
            <w:r>
              <w:rPr>
                <w:rFonts w:asciiTheme="minorEastAsia" w:eastAsiaTheme="minorEastAsia" w:hAnsiTheme="minorEastAsia" w:cs="宋体" w:hint="eastAsia"/>
                <w:sz w:val="21"/>
                <w:szCs w:val="21"/>
              </w:rPr>
              <w:t>6</w:t>
            </w:r>
            <w:r>
              <w:rPr>
                <w:rFonts w:asciiTheme="minorEastAsia" w:eastAsiaTheme="minorEastAsia" w:hAnsiTheme="minorEastAsia" w:cs="宋体" w:hint="eastAsia"/>
                <w:sz w:val="21"/>
                <w:szCs w:val="21"/>
              </w:rPr>
              <w:t>分）</w:t>
            </w:r>
          </w:p>
        </w:tc>
        <w:tc>
          <w:tcPr>
            <w:tcW w:w="1701"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绩效目标合理性</w:t>
            </w:r>
          </w:p>
        </w:tc>
        <w:tc>
          <w:tcPr>
            <w:tcW w:w="1276"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D36435">
        <w:trPr>
          <w:trHeight w:hRule="exact" w:val="454"/>
        </w:trPr>
        <w:tc>
          <w:tcPr>
            <w:tcW w:w="1559" w:type="dxa"/>
            <w:vMerge/>
            <w:vAlign w:val="center"/>
          </w:tcPr>
          <w:p w:rsidR="00D36435" w:rsidRDefault="00D36435">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D36435" w:rsidRDefault="00D36435">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绩效目标科学性</w:t>
            </w:r>
          </w:p>
        </w:tc>
        <w:tc>
          <w:tcPr>
            <w:tcW w:w="1276"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D36435">
        <w:trPr>
          <w:trHeight w:hRule="exact" w:val="454"/>
        </w:trPr>
        <w:tc>
          <w:tcPr>
            <w:tcW w:w="1559" w:type="dxa"/>
            <w:vMerge/>
            <w:vAlign w:val="center"/>
          </w:tcPr>
          <w:p w:rsidR="00D36435" w:rsidRDefault="00D36435">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D36435" w:rsidRDefault="00D36435">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绩效指标明确性</w:t>
            </w:r>
          </w:p>
        </w:tc>
        <w:tc>
          <w:tcPr>
            <w:tcW w:w="1276"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D36435">
        <w:trPr>
          <w:trHeight w:hRule="exact" w:val="454"/>
        </w:trPr>
        <w:tc>
          <w:tcPr>
            <w:tcW w:w="1559" w:type="dxa"/>
            <w:vMerge/>
            <w:vAlign w:val="center"/>
          </w:tcPr>
          <w:p w:rsidR="00D36435" w:rsidRDefault="00D36435">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restart"/>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预算配置</w:t>
            </w:r>
          </w:p>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6</w:t>
            </w:r>
            <w:r>
              <w:rPr>
                <w:rFonts w:asciiTheme="minorEastAsia" w:eastAsiaTheme="minorEastAsia" w:hAnsiTheme="minorEastAsia" w:cs="宋体" w:hint="eastAsia"/>
                <w:sz w:val="21"/>
                <w:szCs w:val="21"/>
              </w:rPr>
              <w:t>分）</w:t>
            </w:r>
          </w:p>
        </w:tc>
        <w:tc>
          <w:tcPr>
            <w:tcW w:w="1701"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预算编制完整性</w:t>
            </w:r>
          </w:p>
        </w:tc>
        <w:tc>
          <w:tcPr>
            <w:tcW w:w="1276"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D36435">
        <w:trPr>
          <w:trHeight w:hRule="exact" w:val="454"/>
        </w:trPr>
        <w:tc>
          <w:tcPr>
            <w:tcW w:w="1559" w:type="dxa"/>
            <w:vMerge/>
            <w:vAlign w:val="center"/>
          </w:tcPr>
          <w:p w:rsidR="00D36435" w:rsidRDefault="00D36435">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D36435" w:rsidRDefault="00D36435">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项目预算细化率</w:t>
            </w:r>
          </w:p>
        </w:tc>
        <w:tc>
          <w:tcPr>
            <w:tcW w:w="1276"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D36435">
        <w:trPr>
          <w:trHeight w:hRule="exact" w:val="454"/>
        </w:trPr>
        <w:tc>
          <w:tcPr>
            <w:tcW w:w="1559" w:type="dxa"/>
            <w:vMerge/>
            <w:vAlign w:val="center"/>
          </w:tcPr>
          <w:p w:rsidR="00D36435" w:rsidRDefault="00D36435">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D36435" w:rsidRDefault="00D36435">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在职人员控制率</w:t>
            </w:r>
          </w:p>
        </w:tc>
        <w:tc>
          <w:tcPr>
            <w:tcW w:w="1276"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D36435">
        <w:trPr>
          <w:trHeight w:hRule="exact" w:val="454"/>
        </w:trPr>
        <w:tc>
          <w:tcPr>
            <w:tcW w:w="2977" w:type="dxa"/>
            <w:gridSpan w:val="2"/>
            <w:vAlign w:val="center"/>
          </w:tcPr>
          <w:p w:rsidR="00D36435" w:rsidRDefault="00C05A13">
            <w:pPr>
              <w:spacing w:line="420" w:lineRule="exact"/>
              <w:ind w:firstLineChars="200" w:firstLine="420"/>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合计</w:t>
            </w:r>
          </w:p>
        </w:tc>
        <w:tc>
          <w:tcPr>
            <w:tcW w:w="1701" w:type="dxa"/>
            <w:vAlign w:val="center"/>
          </w:tcPr>
          <w:p w:rsidR="00D36435" w:rsidRDefault="00D36435">
            <w:pPr>
              <w:spacing w:line="420" w:lineRule="exact"/>
              <w:ind w:firstLineChars="200" w:firstLine="420"/>
              <w:jc w:val="center"/>
              <w:rPr>
                <w:rFonts w:asciiTheme="minorEastAsia" w:eastAsiaTheme="minorEastAsia" w:hAnsiTheme="minorEastAsia" w:cs="宋体"/>
                <w:sz w:val="21"/>
                <w:szCs w:val="21"/>
                <w:highlight w:val="yellow"/>
              </w:rPr>
            </w:pPr>
          </w:p>
        </w:tc>
        <w:tc>
          <w:tcPr>
            <w:tcW w:w="1276"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w:t>
            </w:r>
          </w:p>
        </w:tc>
        <w:tc>
          <w:tcPr>
            <w:tcW w:w="1134"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w:t>
            </w:r>
          </w:p>
        </w:tc>
      </w:tr>
    </w:tbl>
    <w:p w:rsidR="00D36435" w:rsidRDefault="00C05A13">
      <w:pPr>
        <w:spacing w:after="0" w:line="360" w:lineRule="auto"/>
        <w:ind w:firstLineChars="200" w:firstLine="640"/>
        <w:jc w:val="both"/>
        <w:textAlignment w:val="baseline"/>
        <w:rPr>
          <w:rFonts w:ascii="仿宋_GB2312" w:eastAsia="仿宋_GB2312" w:cs="DengXian-Regular"/>
          <w:sz w:val="32"/>
          <w:szCs w:val="32"/>
        </w:rPr>
      </w:pPr>
      <w:bookmarkStart w:id="60" w:name="_Toc465149513"/>
      <w:bookmarkStart w:id="61" w:name="_Toc464638478"/>
      <w:r>
        <w:rPr>
          <w:rFonts w:ascii="仿宋_GB2312" w:eastAsia="仿宋_GB2312" w:cs="DengXian-Regular" w:hint="eastAsia"/>
          <w:sz w:val="32"/>
          <w:szCs w:val="32"/>
        </w:rPr>
        <w:t>1.</w:t>
      </w:r>
      <w:r>
        <w:rPr>
          <w:rFonts w:ascii="仿宋_GB2312" w:eastAsia="仿宋_GB2312" w:cs="DengXian-Regular" w:hint="eastAsia"/>
          <w:sz w:val="32"/>
          <w:szCs w:val="32"/>
        </w:rPr>
        <w:t>绩效目标设定（</w:t>
      </w:r>
      <w:r>
        <w:rPr>
          <w:rFonts w:ascii="仿宋_GB2312" w:eastAsia="仿宋_GB2312" w:cs="DengXian-Regular" w:hint="eastAsia"/>
          <w:sz w:val="32"/>
          <w:szCs w:val="32"/>
        </w:rPr>
        <w:t>6</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1</w:t>
      </w:r>
      <w:r>
        <w:rPr>
          <w:rFonts w:ascii="仿宋_GB2312" w:eastAsia="仿宋_GB2312" w:cs="DengXian-Regular" w:hint="eastAsia"/>
          <w:sz w:val="32"/>
          <w:szCs w:val="32"/>
        </w:rPr>
        <w:t>）绩效目标合理性</w:t>
      </w:r>
      <w:r>
        <w:rPr>
          <w:rFonts w:ascii="仿宋_GB2312" w:eastAsia="仿宋_GB2312" w:cs="DengXian-Regular" w:hint="eastAsia"/>
          <w:sz w:val="32"/>
          <w:szCs w:val="32"/>
        </w:rPr>
        <w:t>(2</w:t>
      </w:r>
      <w:r>
        <w:rPr>
          <w:rFonts w:ascii="仿宋_GB2312" w:eastAsia="仿宋_GB2312" w:cs="DengXian-Regular" w:hint="eastAsia"/>
          <w:sz w:val="32"/>
          <w:szCs w:val="32"/>
        </w:rPr>
        <w:t>分</w:t>
      </w:r>
      <w:r>
        <w:rPr>
          <w:rFonts w:ascii="仿宋_GB2312" w:eastAsia="仿宋_GB2312" w:cs="DengXian-Regular" w:hint="eastAsia"/>
          <w:sz w:val="32"/>
          <w:szCs w:val="32"/>
        </w:rPr>
        <w:t>)</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通过对比</w:t>
      </w:r>
      <w:r>
        <w:rPr>
          <w:rFonts w:ascii="仿宋" w:eastAsia="仿宋" w:hAnsi="仿宋" w:hint="eastAsia"/>
          <w:sz w:val="32"/>
          <w:szCs w:val="32"/>
        </w:rPr>
        <w:t>根据《中华人民共和国宪法》《中华人民共和国人民法院组织法》和中央机构编制委员会办公室、最高人民法院《关于积极推进省以下人民法院内设机构改革工作的通知》（法发</w:t>
      </w:r>
      <w:r>
        <w:rPr>
          <w:rFonts w:ascii="仿宋" w:eastAsia="仿宋" w:hAnsi="仿宋"/>
          <w:sz w:val="32"/>
          <w:szCs w:val="32"/>
        </w:rPr>
        <w:t>{2018}8</w:t>
      </w:r>
      <w:r>
        <w:rPr>
          <w:rFonts w:ascii="仿宋" w:eastAsia="仿宋" w:hAnsi="仿宋" w:hint="eastAsia"/>
          <w:sz w:val="32"/>
          <w:szCs w:val="32"/>
        </w:rPr>
        <w:t>号）</w:t>
      </w:r>
      <w:r>
        <w:rPr>
          <w:rFonts w:ascii="仿宋_GB2312" w:eastAsia="仿宋_GB2312" w:cs="DengXian-Regular" w:hint="eastAsia"/>
          <w:sz w:val="32"/>
          <w:szCs w:val="32"/>
        </w:rPr>
        <w:t>和徐水区人民法院</w:t>
      </w:r>
      <w:r>
        <w:rPr>
          <w:rFonts w:ascii="仿宋_GB2312" w:eastAsia="仿宋_GB2312" w:cs="DengXian-Regular" w:hint="eastAsia"/>
          <w:sz w:val="32"/>
          <w:szCs w:val="32"/>
        </w:rPr>
        <w:t>2019</w:t>
      </w:r>
      <w:r>
        <w:rPr>
          <w:rFonts w:ascii="仿宋_GB2312" w:eastAsia="仿宋_GB2312" w:cs="DengXian-Regular" w:hint="eastAsia"/>
          <w:sz w:val="32"/>
          <w:szCs w:val="32"/>
        </w:rPr>
        <w:t>年预算文本</w:t>
      </w:r>
      <w:proofErr w:type="gramStart"/>
      <w:r>
        <w:rPr>
          <w:rFonts w:ascii="仿宋_GB2312" w:eastAsia="仿宋_GB2312" w:cs="DengXian-Regular" w:hint="eastAsia"/>
          <w:sz w:val="32"/>
          <w:szCs w:val="32"/>
        </w:rPr>
        <w:t>—部门</w:t>
      </w:r>
      <w:proofErr w:type="gramEnd"/>
      <w:r>
        <w:rPr>
          <w:rFonts w:ascii="仿宋_GB2312" w:eastAsia="仿宋_GB2312" w:cs="DengXian-Regular" w:hint="eastAsia"/>
          <w:sz w:val="32"/>
          <w:szCs w:val="32"/>
        </w:rPr>
        <w:t>职责工作活动绩效目标，评价工作组认为我单位部门职责符合“三定”方案中所赋予的职责，绩效目标设立依据充分，符合客观实际，与部门职责、工作规划和重点工作相关，工作活动和项目预算安排合理。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2</w:t>
      </w:r>
      <w:r>
        <w:rPr>
          <w:rFonts w:ascii="仿宋_GB2312" w:eastAsia="仿宋_GB2312" w:cs="DengXian-Regular" w:hint="eastAsia"/>
          <w:sz w:val="32"/>
          <w:szCs w:val="32"/>
        </w:rPr>
        <w:t>）绩效目标科学性（</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Pr>
          <w:rFonts w:ascii="仿宋_GB2312" w:eastAsia="仿宋_GB2312" w:cs="DengXian-Regular" w:hint="eastAsia"/>
          <w:sz w:val="32"/>
          <w:szCs w:val="32"/>
        </w:rPr>
        <w:t>区法院</w:t>
      </w:r>
      <w:r>
        <w:rPr>
          <w:rFonts w:ascii="仿宋_GB2312" w:eastAsia="仿宋_GB2312" w:cs="DengXian-Regular" w:hint="eastAsia"/>
          <w:sz w:val="32"/>
          <w:szCs w:val="32"/>
        </w:rPr>
        <w:t>2</w:t>
      </w:r>
      <w:r>
        <w:rPr>
          <w:rFonts w:ascii="仿宋_GB2312" w:eastAsia="仿宋_GB2312" w:cs="DengXian-Regular" w:hint="eastAsia"/>
          <w:sz w:val="32"/>
          <w:szCs w:val="32"/>
        </w:rPr>
        <w:t>019</w:t>
      </w:r>
      <w:r>
        <w:rPr>
          <w:rFonts w:ascii="仿宋_GB2312" w:eastAsia="仿宋_GB2312" w:cs="DengXian-Regular" w:hint="eastAsia"/>
          <w:sz w:val="32"/>
          <w:szCs w:val="32"/>
        </w:rPr>
        <w:t>年预算文本</w:t>
      </w:r>
      <w:proofErr w:type="gramStart"/>
      <w:r>
        <w:rPr>
          <w:rFonts w:ascii="仿宋_GB2312" w:eastAsia="仿宋_GB2312" w:cs="DengXian-Regular" w:hint="eastAsia"/>
          <w:sz w:val="32"/>
          <w:szCs w:val="32"/>
        </w:rPr>
        <w:t>—部门</w:t>
      </w:r>
      <w:proofErr w:type="gramEnd"/>
      <w:r>
        <w:rPr>
          <w:rFonts w:ascii="仿宋_GB2312" w:eastAsia="仿宋_GB2312" w:cs="DengXian-Regular" w:hint="eastAsia"/>
          <w:sz w:val="32"/>
          <w:szCs w:val="32"/>
        </w:rPr>
        <w:t>职责工作活动绩效目标（详见附件</w:t>
      </w:r>
      <w:r>
        <w:rPr>
          <w:rFonts w:ascii="仿宋_GB2312" w:eastAsia="仿宋_GB2312" w:cs="DengXian-Regular" w:hint="eastAsia"/>
          <w:sz w:val="32"/>
          <w:szCs w:val="32"/>
        </w:rPr>
        <w:t>4</w:t>
      </w:r>
      <w:r>
        <w:rPr>
          <w:rFonts w:ascii="仿宋_GB2312" w:eastAsia="仿宋_GB2312" w:cs="DengXian-Regular" w:hint="eastAsia"/>
          <w:sz w:val="32"/>
          <w:szCs w:val="32"/>
        </w:rPr>
        <w:t>），绩效目标与部门履职、年度工作任务</w:t>
      </w:r>
      <w:r>
        <w:rPr>
          <w:rFonts w:ascii="仿宋_GB2312" w:eastAsia="仿宋_GB2312" w:cs="DengXian-Regular" w:hint="eastAsia"/>
          <w:sz w:val="32"/>
          <w:szCs w:val="32"/>
        </w:rPr>
        <w:lastRenderedPageBreak/>
        <w:t>相符；工作活动有明确的绩效目标，绩效目标与部门职责目标、部门年度工作目标一致。</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3</w:t>
      </w:r>
      <w:r>
        <w:rPr>
          <w:rFonts w:ascii="仿宋_GB2312" w:eastAsia="仿宋_GB2312" w:cs="DengXian-Regular" w:hint="eastAsia"/>
          <w:sz w:val="32"/>
          <w:szCs w:val="32"/>
        </w:rPr>
        <w:t>）绩效目标明确性（</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highlight w:val="yellow"/>
        </w:rPr>
      </w:pPr>
      <w:r>
        <w:rPr>
          <w:rFonts w:ascii="仿宋_GB2312" w:eastAsia="仿宋_GB2312" w:cs="DengXian-Regular" w:hint="eastAsia"/>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Pr>
          <w:rFonts w:ascii="仿宋_GB2312" w:eastAsia="仿宋_GB2312" w:cs="DengXian-Regular" w:hint="eastAsia"/>
          <w:sz w:val="32"/>
          <w:szCs w:val="32"/>
        </w:rPr>
        <w:t>区法院</w:t>
      </w:r>
      <w:r>
        <w:rPr>
          <w:rFonts w:ascii="仿宋_GB2312" w:eastAsia="仿宋_GB2312" w:cs="DengXian-Regular" w:hint="eastAsia"/>
          <w:sz w:val="32"/>
          <w:szCs w:val="32"/>
        </w:rPr>
        <w:t>2019</w:t>
      </w:r>
      <w:r>
        <w:rPr>
          <w:rFonts w:ascii="仿宋_GB2312" w:eastAsia="仿宋_GB2312" w:cs="DengXian-Regular" w:hint="eastAsia"/>
          <w:sz w:val="32"/>
          <w:szCs w:val="32"/>
        </w:rPr>
        <w:t>年预算文本</w:t>
      </w:r>
      <w:proofErr w:type="gramStart"/>
      <w:r>
        <w:rPr>
          <w:rFonts w:ascii="仿宋_GB2312" w:eastAsia="仿宋_GB2312" w:cs="DengXian-Regular" w:hint="eastAsia"/>
          <w:sz w:val="32"/>
          <w:szCs w:val="32"/>
        </w:rPr>
        <w:t>—部门</w:t>
      </w:r>
      <w:proofErr w:type="gramEnd"/>
      <w:r>
        <w:rPr>
          <w:rFonts w:ascii="仿宋_GB2312" w:eastAsia="仿宋_GB2312" w:cs="DengXian-Regular" w:hint="eastAsia"/>
          <w:sz w:val="32"/>
          <w:szCs w:val="32"/>
        </w:rPr>
        <w:t>职责工作活动绩效目标</w:t>
      </w:r>
      <w:r>
        <w:rPr>
          <w:rFonts w:ascii="仿宋_GB2312" w:eastAsia="仿宋_GB2312" w:cs="DengXian-Regular" w:hint="eastAsia"/>
          <w:sz w:val="32"/>
          <w:szCs w:val="32"/>
        </w:rPr>
        <w:t>,</w:t>
      </w:r>
      <w:r>
        <w:rPr>
          <w:rFonts w:ascii="仿宋_GB2312" w:eastAsia="仿宋_GB2312" w:cs="DengXian-Regular" w:hint="eastAsia"/>
          <w:sz w:val="32"/>
          <w:szCs w:val="32"/>
        </w:rPr>
        <w:t>该指标实际得分</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预算配置（</w:t>
      </w:r>
      <w:r>
        <w:rPr>
          <w:rFonts w:ascii="仿宋_GB2312" w:eastAsia="仿宋_GB2312" w:cs="DengXian-Regular" w:hint="eastAsia"/>
          <w:sz w:val="32"/>
          <w:szCs w:val="32"/>
        </w:rPr>
        <w:t>6</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1</w:t>
      </w:r>
      <w:r>
        <w:rPr>
          <w:rFonts w:ascii="仿宋_GB2312" w:eastAsia="仿宋_GB2312" w:cs="DengXian-Regular" w:hint="eastAsia"/>
          <w:sz w:val="32"/>
          <w:szCs w:val="32"/>
        </w:rPr>
        <w:t>）预算编制完整性（</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该指标主要评价部门所有收入是否全部纳入部门预算，部门支出预算是否统筹各类支出，按基本支出、项目支出分别编制。</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Pr>
          <w:rFonts w:ascii="仿宋_GB2312" w:eastAsia="仿宋_GB2312" w:cs="DengXian-Regular" w:hint="eastAsia"/>
          <w:sz w:val="32"/>
          <w:szCs w:val="32"/>
        </w:rPr>
        <w:t>区法院</w:t>
      </w:r>
      <w:r>
        <w:rPr>
          <w:rFonts w:ascii="仿宋_GB2312" w:eastAsia="仿宋_GB2312" w:cs="DengXian-Regular" w:hint="eastAsia"/>
          <w:sz w:val="32"/>
          <w:szCs w:val="32"/>
        </w:rPr>
        <w:t>2019</w:t>
      </w:r>
      <w:r>
        <w:rPr>
          <w:rFonts w:ascii="仿宋_GB2312" w:eastAsia="仿宋_GB2312" w:cs="DengXian-Regular" w:hint="eastAsia"/>
          <w:sz w:val="32"/>
          <w:szCs w:val="32"/>
        </w:rPr>
        <w:t>年预算文本及相关会计资料，我单位所有收入均已纳入部门预算，部门支出按基本支出、项目支出分别编制。</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2</w:t>
      </w:r>
      <w:r>
        <w:rPr>
          <w:rFonts w:ascii="仿宋_GB2312" w:eastAsia="仿宋_GB2312" w:cs="DengXian-Regular" w:hint="eastAsia"/>
          <w:sz w:val="32"/>
          <w:szCs w:val="32"/>
        </w:rPr>
        <w:t>）项目预算细化率（</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该指标主要评价编报的项目支出是否细化到具体用款单位和项目的资金额度，通过项目预算细化率衡量。</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项目预算细化率</w:t>
      </w:r>
      <w:r>
        <w:rPr>
          <w:rFonts w:ascii="仿宋_GB2312" w:eastAsia="仿宋_GB2312" w:cs="DengXian-Regular" w:hint="eastAsia"/>
          <w:sz w:val="32"/>
          <w:szCs w:val="32"/>
        </w:rPr>
        <w:t>=</w:t>
      </w:r>
      <w:r>
        <w:rPr>
          <w:rFonts w:ascii="仿宋_GB2312" w:eastAsia="仿宋_GB2312" w:cs="DengXian-Regular" w:hint="eastAsia"/>
          <w:sz w:val="32"/>
          <w:szCs w:val="32"/>
        </w:rPr>
        <w:t>细化的项目金额</w:t>
      </w:r>
      <w:r>
        <w:rPr>
          <w:rFonts w:ascii="仿宋_GB2312" w:eastAsia="仿宋_GB2312" w:cs="DengXian-Regular" w:hint="eastAsia"/>
          <w:sz w:val="32"/>
          <w:szCs w:val="32"/>
        </w:rPr>
        <w:t>/</w:t>
      </w:r>
      <w:r>
        <w:rPr>
          <w:rFonts w:ascii="仿宋_GB2312" w:eastAsia="仿宋_GB2312" w:cs="DengXian-Regular" w:hint="eastAsia"/>
          <w:sz w:val="32"/>
          <w:szCs w:val="32"/>
        </w:rPr>
        <w:t>实际编报的项目金额×</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Pr>
          <w:rFonts w:ascii="仿宋_GB2312" w:eastAsia="仿宋_GB2312" w:cs="DengXian-Regular" w:hint="eastAsia"/>
          <w:sz w:val="32"/>
          <w:szCs w:val="32"/>
        </w:rPr>
        <w:t>区法院</w:t>
      </w:r>
      <w:r>
        <w:rPr>
          <w:rFonts w:ascii="仿宋_GB2312" w:eastAsia="仿宋_GB2312" w:cs="DengXian-Regular" w:hint="eastAsia"/>
          <w:sz w:val="32"/>
          <w:szCs w:val="32"/>
        </w:rPr>
        <w:t>2019</w:t>
      </w:r>
      <w:r>
        <w:rPr>
          <w:rFonts w:ascii="仿宋_GB2312" w:eastAsia="仿宋_GB2312" w:cs="DengXian-Regular" w:hint="eastAsia"/>
          <w:sz w:val="32"/>
          <w:szCs w:val="32"/>
        </w:rPr>
        <w:t>年预算文本</w:t>
      </w:r>
      <w:proofErr w:type="gramStart"/>
      <w:r>
        <w:rPr>
          <w:rFonts w:ascii="仿宋_GB2312" w:eastAsia="仿宋_GB2312" w:cs="DengXian-Regular" w:hint="eastAsia"/>
          <w:sz w:val="32"/>
          <w:szCs w:val="32"/>
        </w:rPr>
        <w:t>—部门</w:t>
      </w:r>
      <w:proofErr w:type="gramEnd"/>
      <w:r>
        <w:rPr>
          <w:rFonts w:ascii="仿宋_GB2312" w:eastAsia="仿宋_GB2312" w:cs="DengXian-Regular" w:hint="eastAsia"/>
          <w:sz w:val="32"/>
          <w:szCs w:val="32"/>
        </w:rPr>
        <w:t>项目支出预算表，法院</w:t>
      </w:r>
      <w:r>
        <w:rPr>
          <w:rFonts w:ascii="仿宋_GB2312" w:eastAsia="仿宋_GB2312" w:cs="DengXian-Regular" w:hint="eastAsia"/>
          <w:sz w:val="32"/>
          <w:szCs w:val="32"/>
        </w:rPr>
        <w:t>2019</w:t>
      </w:r>
      <w:r>
        <w:rPr>
          <w:rFonts w:ascii="仿宋_GB2312" w:eastAsia="仿宋_GB2312" w:cs="DengXian-Regular" w:hint="eastAsia"/>
          <w:sz w:val="32"/>
          <w:szCs w:val="32"/>
        </w:rPr>
        <w:t>年预算项目共</w:t>
      </w:r>
      <w:r>
        <w:rPr>
          <w:rFonts w:ascii="仿宋_GB2312" w:eastAsia="仿宋_GB2312" w:cs="DengXian-Regular"/>
          <w:sz w:val="32"/>
          <w:szCs w:val="32"/>
        </w:rPr>
        <w:t>9</w:t>
      </w:r>
      <w:r>
        <w:rPr>
          <w:rFonts w:ascii="仿宋_GB2312" w:eastAsia="仿宋_GB2312" w:cs="DengXian-Regular" w:hint="eastAsia"/>
          <w:sz w:val="32"/>
          <w:szCs w:val="32"/>
        </w:rPr>
        <w:t>个（详见附件</w:t>
      </w:r>
      <w:r>
        <w:rPr>
          <w:rFonts w:ascii="仿宋_GB2312" w:eastAsia="仿宋_GB2312" w:cs="DengXian-Regular" w:hint="eastAsia"/>
          <w:sz w:val="32"/>
          <w:szCs w:val="32"/>
        </w:rPr>
        <w:t>2-2-2</w:t>
      </w:r>
      <w:r>
        <w:rPr>
          <w:rFonts w:ascii="仿宋_GB2312" w:eastAsia="仿宋_GB2312" w:cs="DengXian-Regular" w:hint="eastAsia"/>
          <w:sz w:val="32"/>
          <w:szCs w:val="32"/>
        </w:rPr>
        <w:t>），涉及资金</w:t>
      </w:r>
      <w:r>
        <w:rPr>
          <w:rFonts w:ascii="仿宋_GB2312" w:eastAsia="仿宋_GB2312" w:cs="DengXian-Regular"/>
          <w:sz w:val="32"/>
          <w:szCs w:val="32"/>
        </w:rPr>
        <w:t>769.27</w:t>
      </w:r>
      <w:r>
        <w:rPr>
          <w:rFonts w:ascii="仿宋_GB2312" w:eastAsia="仿宋_GB2312" w:cs="DengXian-Regular" w:hint="eastAsia"/>
          <w:sz w:val="32"/>
          <w:szCs w:val="32"/>
        </w:rPr>
        <w:t>万元，所有项目均细化到具体用款单位及项目资金额度。项目预算细化率</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sz w:val="32"/>
          <w:szCs w:val="32"/>
        </w:rPr>
        <w:t>769.27</w:t>
      </w:r>
      <w:r>
        <w:rPr>
          <w:rFonts w:ascii="仿宋_GB2312" w:eastAsia="仿宋_GB2312" w:cs="DengXian-Regular" w:hint="eastAsia"/>
          <w:sz w:val="32"/>
          <w:szCs w:val="32"/>
        </w:rPr>
        <w:t>/</w:t>
      </w:r>
      <w:r>
        <w:rPr>
          <w:rFonts w:ascii="仿宋_GB2312" w:eastAsia="仿宋_GB2312" w:cs="DengXian-Regular"/>
          <w:sz w:val="32"/>
          <w:szCs w:val="32"/>
        </w:rPr>
        <w:t>769.27</w:t>
      </w:r>
      <w:r>
        <w:rPr>
          <w:rFonts w:ascii="仿宋_GB2312" w:eastAsia="仿宋_GB2312" w:cs="DengXian-Regular" w:hint="eastAsia"/>
          <w:sz w:val="32"/>
          <w:szCs w:val="32"/>
        </w:rPr>
        <w:t>）</w:t>
      </w:r>
      <w:r>
        <w:rPr>
          <w:rFonts w:ascii="仿宋_GB2312" w:eastAsia="仿宋_GB2312" w:cs="DengXian-Regular" w:hint="eastAsia"/>
          <w:sz w:val="32"/>
          <w:szCs w:val="32"/>
        </w:rPr>
        <w:t>*100%=100%</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3</w:t>
      </w:r>
      <w:r>
        <w:rPr>
          <w:rFonts w:ascii="仿宋_GB2312" w:eastAsia="仿宋_GB2312" w:cs="DengXian-Regular" w:hint="eastAsia"/>
          <w:sz w:val="32"/>
          <w:szCs w:val="32"/>
        </w:rPr>
        <w:t>）在职人员控制率（</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该指标主要考核截至</w:t>
      </w:r>
      <w:r>
        <w:rPr>
          <w:rFonts w:ascii="仿宋_GB2312" w:eastAsia="仿宋_GB2312" w:cs="DengXian-Regular" w:hint="eastAsia"/>
          <w:sz w:val="32"/>
          <w:szCs w:val="32"/>
        </w:rPr>
        <w:t>2019</w:t>
      </w:r>
      <w:r>
        <w:rPr>
          <w:rFonts w:ascii="仿宋_GB2312" w:eastAsia="仿宋_GB2312" w:cs="DengXian-Regular" w:hint="eastAsia"/>
          <w:sz w:val="32"/>
          <w:szCs w:val="32"/>
        </w:rPr>
        <w:t>年底我单位在职人员控制情况，通过在职人员控制率衡量。</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在职人员控制率</w:t>
      </w:r>
      <w:r>
        <w:rPr>
          <w:rFonts w:ascii="仿宋_GB2312" w:eastAsia="仿宋_GB2312" w:cs="DengXian-Regular" w:hint="eastAsia"/>
          <w:sz w:val="32"/>
          <w:szCs w:val="32"/>
        </w:rPr>
        <w:t>=</w:t>
      </w:r>
      <w:r>
        <w:rPr>
          <w:rFonts w:ascii="仿宋_GB2312" w:eastAsia="仿宋_GB2312" w:cs="DengXian-Regular" w:hint="eastAsia"/>
          <w:sz w:val="32"/>
          <w:szCs w:val="32"/>
        </w:rPr>
        <w:t>决算在职人员</w:t>
      </w:r>
      <w:r>
        <w:rPr>
          <w:rFonts w:ascii="仿宋_GB2312" w:eastAsia="仿宋_GB2312" w:cs="DengXian-Regular" w:hint="eastAsia"/>
          <w:sz w:val="32"/>
          <w:szCs w:val="32"/>
        </w:rPr>
        <w:t>/</w:t>
      </w:r>
      <w:r>
        <w:rPr>
          <w:rFonts w:ascii="仿宋_GB2312" w:eastAsia="仿宋_GB2312" w:cs="DengXian-Regular" w:hint="eastAsia"/>
          <w:sz w:val="32"/>
          <w:szCs w:val="32"/>
        </w:rPr>
        <w:t>编制数×</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 w:eastAsia="仿宋" w:hAnsi="仿宋" w:hint="eastAsia"/>
          <w:sz w:val="32"/>
          <w:szCs w:val="32"/>
        </w:rPr>
        <w:t>根据《中华人民共和国宪法》《中华人民共和国人民法院组织法》和中央机构编制委员会办公室、最高人民法院《</w:t>
      </w:r>
      <w:r>
        <w:rPr>
          <w:rFonts w:ascii="仿宋" w:eastAsia="仿宋" w:hAnsi="仿宋" w:hint="eastAsia"/>
          <w:sz w:val="32"/>
          <w:szCs w:val="32"/>
        </w:rPr>
        <w:t>关于积极推进省以下人民法院内设机构改革工作的通知》（法发</w:t>
      </w:r>
      <w:r>
        <w:rPr>
          <w:rFonts w:ascii="仿宋" w:eastAsia="仿宋" w:hAnsi="仿宋"/>
          <w:sz w:val="32"/>
          <w:szCs w:val="32"/>
        </w:rPr>
        <w:t>{2018}8</w:t>
      </w:r>
      <w:r>
        <w:rPr>
          <w:rFonts w:ascii="仿宋" w:eastAsia="仿宋" w:hAnsi="仿宋" w:hint="eastAsia"/>
          <w:sz w:val="32"/>
          <w:szCs w:val="32"/>
        </w:rPr>
        <w:t>号）</w:t>
      </w:r>
      <w:r>
        <w:rPr>
          <w:rFonts w:ascii="仿宋_GB2312" w:eastAsia="仿宋_GB2312" w:cs="DengXian-Regular" w:hint="eastAsia"/>
          <w:sz w:val="32"/>
          <w:szCs w:val="32"/>
        </w:rPr>
        <w:t>，徐水区人民法院人员编制为</w:t>
      </w:r>
      <w:r>
        <w:rPr>
          <w:rFonts w:ascii="仿宋_GB2312" w:eastAsia="仿宋_GB2312" w:cs="DengXian-Regular" w:hint="eastAsia"/>
          <w:sz w:val="32"/>
          <w:szCs w:val="32"/>
        </w:rPr>
        <w:t>84</w:t>
      </w:r>
      <w:r>
        <w:rPr>
          <w:rFonts w:ascii="仿宋_GB2312" w:eastAsia="仿宋_GB2312" w:cs="DengXian-Regular" w:hint="eastAsia"/>
          <w:sz w:val="32"/>
          <w:szCs w:val="32"/>
        </w:rPr>
        <w:t>人，根据我单位</w:t>
      </w:r>
      <w:r>
        <w:rPr>
          <w:rFonts w:ascii="仿宋_GB2312" w:eastAsia="仿宋_GB2312" w:cs="DengXian-Regular" w:hint="eastAsia"/>
          <w:sz w:val="32"/>
          <w:szCs w:val="32"/>
        </w:rPr>
        <w:t>2019</w:t>
      </w:r>
      <w:r>
        <w:rPr>
          <w:rFonts w:ascii="仿宋_GB2312" w:eastAsia="仿宋_GB2312" w:cs="DengXian-Regular" w:hint="eastAsia"/>
          <w:sz w:val="32"/>
          <w:szCs w:val="32"/>
        </w:rPr>
        <w:t>年决算文本</w:t>
      </w:r>
      <w:r>
        <w:rPr>
          <w:rFonts w:ascii="仿宋_GB2312" w:eastAsia="仿宋_GB2312" w:cs="DengXian-Regular" w:hint="eastAsia"/>
          <w:sz w:val="32"/>
          <w:szCs w:val="32"/>
        </w:rPr>
        <w:t>-</w:t>
      </w:r>
      <w:r>
        <w:rPr>
          <w:rFonts w:ascii="仿宋_GB2312" w:eastAsia="仿宋_GB2312" w:cs="DengXian-Regular" w:hint="eastAsia"/>
          <w:sz w:val="32"/>
          <w:szCs w:val="32"/>
        </w:rPr>
        <w:t>部门基本情况表，截至</w:t>
      </w:r>
      <w:r>
        <w:rPr>
          <w:rFonts w:ascii="仿宋_GB2312" w:eastAsia="仿宋_GB2312" w:cs="DengXian-Regular" w:hint="eastAsia"/>
          <w:sz w:val="32"/>
          <w:szCs w:val="32"/>
        </w:rPr>
        <w:t>2019</w:t>
      </w:r>
      <w:r>
        <w:rPr>
          <w:rFonts w:ascii="仿宋_GB2312" w:eastAsia="仿宋_GB2312" w:cs="DengXian-Regular" w:hint="eastAsia"/>
          <w:sz w:val="32"/>
          <w:szCs w:val="32"/>
        </w:rPr>
        <w:t>年底，在职人员</w:t>
      </w:r>
      <w:r>
        <w:rPr>
          <w:rFonts w:ascii="仿宋_GB2312" w:eastAsia="仿宋_GB2312" w:cs="DengXian-Regular" w:hint="eastAsia"/>
          <w:sz w:val="32"/>
          <w:szCs w:val="32"/>
        </w:rPr>
        <w:t>82</w:t>
      </w:r>
      <w:r>
        <w:rPr>
          <w:rFonts w:ascii="仿宋_GB2312" w:eastAsia="仿宋_GB2312" w:cs="DengXian-Regular" w:hint="eastAsia"/>
          <w:sz w:val="32"/>
          <w:szCs w:val="32"/>
        </w:rPr>
        <w:t>人，在职人员控制率</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hint="eastAsia"/>
          <w:sz w:val="32"/>
          <w:szCs w:val="32"/>
        </w:rPr>
        <w:t>82/84</w:t>
      </w:r>
      <w:r>
        <w:rPr>
          <w:rFonts w:ascii="仿宋_GB2312" w:eastAsia="仿宋_GB2312" w:cs="DengXian-Regular" w:hint="eastAsia"/>
          <w:sz w:val="32"/>
          <w:szCs w:val="32"/>
        </w:rPr>
        <w:t>）</w:t>
      </w:r>
      <w:r>
        <w:rPr>
          <w:rFonts w:ascii="仿宋_GB2312" w:eastAsia="仿宋_GB2312" w:cs="DengXian-Regular" w:hint="eastAsia"/>
          <w:sz w:val="32"/>
          <w:szCs w:val="32"/>
        </w:rPr>
        <w:t>*100%=97%</w:t>
      </w:r>
      <w:r>
        <w:rPr>
          <w:rFonts w:ascii="仿宋_GB2312" w:eastAsia="仿宋_GB2312" w:cs="DengXian-Regular" w:hint="eastAsia"/>
          <w:sz w:val="32"/>
          <w:szCs w:val="32"/>
        </w:rPr>
        <w:t>。</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D36435" w:rsidRDefault="00C05A13">
      <w:pPr>
        <w:pStyle w:val="3"/>
        <w:spacing w:before="0" w:after="0"/>
        <w:ind w:firstLineChars="200" w:firstLine="643"/>
        <w:jc w:val="both"/>
        <w:rPr>
          <w:rFonts w:ascii="楷体" w:eastAsia="楷体" w:hAnsi="楷体"/>
          <w:sz w:val="32"/>
        </w:rPr>
      </w:pPr>
      <w:bookmarkStart w:id="62" w:name="_Toc19940"/>
      <w:bookmarkEnd w:id="60"/>
      <w:bookmarkEnd w:id="61"/>
      <w:r>
        <w:rPr>
          <w:rFonts w:ascii="楷体" w:eastAsia="楷体" w:hAnsi="楷体" w:hint="eastAsia"/>
          <w:sz w:val="32"/>
        </w:rPr>
        <w:lastRenderedPageBreak/>
        <w:t>（二）过程（</w:t>
      </w:r>
      <w:r>
        <w:rPr>
          <w:rFonts w:ascii="楷体" w:eastAsia="楷体" w:hAnsi="楷体" w:hint="eastAsia"/>
          <w:sz w:val="32"/>
        </w:rPr>
        <w:t>48</w:t>
      </w:r>
      <w:r>
        <w:rPr>
          <w:rFonts w:ascii="楷体" w:eastAsia="楷体" w:hAnsi="楷体" w:hint="eastAsia"/>
          <w:sz w:val="32"/>
        </w:rPr>
        <w:t>分）</w:t>
      </w:r>
      <w:bookmarkEnd w:id="62"/>
    </w:p>
    <w:p w:rsidR="00D36435" w:rsidRDefault="00C05A13">
      <w:pPr>
        <w:spacing w:after="0" w:line="360" w:lineRule="auto"/>
        <w:ind w:firstLineChars="200" w:firstLine="640"/>
        <w:jc w:val="both"/>
        <w:textAlignment w:val="baseline"/>
        <w:rPr>
          <w:rFonts w:ascii="仿宋_GB2312" w:eastAsia="仿宋_GB2312" w:cs="DengXian-Regular"/>
          <w:sz w:val="32"/>
          <w:szCs w:val="32"/>
        </w:rPr>
      </w:pPr>
      <w:bookmarkStart w:id="63" w:name="_Toc464638480"/>
      <w:r>
        <w:rPr>
          <w:rFonts w:ascii="仿宋_GB2312" w:eastAsia="仿宋_GB2312" w:cs="DengXian-Regular" w:hint="eastAsia"/>
          <w:sz w:val="32"/>
          <w:szCs w:val="32"/>
        </w:rPr>
        <w:t>该一级指标包含预算执行、预算管理和绩效评价三个二级指标，主要反映预算调整、收入支出完成情况，“三公”经费、政府采购执行情况，财务管理是否规范、资金使用是否合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，决算真实性。</w:t>
      </w:r>
    </w:p>
    <w:p w:rsidR="00D36435" w:rsidRDefault="00C05A13">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w:t>
      </w:r>
      <w:r>
        <w:rPr>
          <w:rFonts w:asciiTheme="minorEastAsia" w:eastAsiaTheme="minorEastAsia" w:hAnsiTheme="minorEastAsia" w:cstheme="minorEastAsia" w:hint="eastAsia"/>
          <w:b/>
          <w:bCs/>
          <w:sz w:val="32"/>
          <w:szCs w:val="32"/>
        </w:rPr>
        <w:t xml:space="preserve">3  </w:t>
      </w:r>
      <w:r>
        <w:rPr>
          <w:rFonts w:asciiTheme="minorEastAsia" w:eastAsiaTheme="minorEastAsia" w:hAnsiTheme="minorEastAsia" w:cstheme="minorEastAsia" w:hint="eastAsia"/>
          <w:b/>
          <w:bCs/>
          <w:sz w:val="32"/>
          <w:szCs w:val="32"/>
        </w:rPr>
        <w:t>过程指标及得分情况表</w:t>
      </w:r>
    </w:p>
    <w:tbl>
      <w:tblPr>
        <w:tblW w:w="7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7"/>
        <w:gridCol w:w="1388"/>
        <w:gridCol w:w="2277"/>
        <w:gridCol w:w="1155"/>
        <w:gridCol w:w="1276"/>
      </w:tblGrid>
      <w:tr w:rsidR="00D36435">
        <w:trPr>
          <w:trHeight w:hRule="exact" w:val="397"/>
          <w:jc w:val="center"/>
        </w:trPr>
        <w:tc>
          <w:tcPr>
            <w:tcW w:w="1557" w:type="dxa"/>
            <w:vAlign w:val="center"/>
          </w:tcPr>
          <w:p w:rsidR="00D36435" w:rsidRDefault="00C05A13">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388" w:type="dxa"/>
            <w:vAlign w:val="center"/>
          </w:tcPr>
          <w:p w:rsidR="00D36435" w:rsidRDefault="00C05A13">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277" w:type="dxa"/>
            <w:vAlign w:val="center"/>
          </w:tcPr>
          <w:p w:rsidR="00D36435" w:rsidRDefault="00C05A13">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55" w:type="dxa"/>
            <w:vAlign w:val="center"/>
          </w:tcPr>
          <w:p w:rsidR="00D36435" w:rsidRDefault="00C05A13">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276" w:type="dxa"/>
            <w:vAlign w:val="center"/>
          </w:tcPr>
          <w:p w:rsidR="00D36435" w:rsidRDefault="00C05A13">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D36435">
        <w:trPr>
          <w:trHeight w:hRule="exact" w:val="397"/>
          <w:jc w:val="center"/>
        </w:trPr>
        <w:tc>
          <w:tcPr>
            <w:tcW w:w="1557" w:type="dxa"/>
            <w:vMerge w:val="restart"/>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过程（</w:t>
            </w:r>
            <w:r>
              <w:rPr>
                <w:rFonts w:asciiTheme="minorEastAsia" w:eastAsiaTheme="minorEastAsia" w:hAnsiTheme="minorEastAsia" w:cs="宋体" w:hint="eastAsia"/>
                <w:sz w:val="21"/>
                <w:szCs w:val="21"/>
              </w:rPr>
              <w:t>48</w:t>
            </w:r>
            <w:r>
              <w:rPr>
                <w:rFonts w:asciiTheme="minorEastAsia" w:eastAsiaTheme="minorEastAsia" w:hAnsiTheme="minorEastAsia" w:cs="宋体" w:hint="eastAsia"/>
                <w:sz w:val="21"/>
                <w:szCs w:val="21"/>
              </w:rPr>
              <w:t>分）</w:t>
            </w:r>
          </w:p>
        </w:tc>
        <w:tc>
          <w:tcPr>
            <w:tcW w:w="1388" w:type="dxa"/>
            <w:vMerge w:val="restart"/>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预算执行</w:t>
            </w:r>
          </w:p>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24</w:t>
            </w:r>
            <w:r>
              <w:rPr>
                <w:rFonts w:asciiTheme="minorEastAsia" w:eastAsiaTheme="minorEastAsia" w:hAnsiTheme="minorEastAsia" w:cs="宋体" w:hint="eastAsia"/>
                <w:sz w:val="21"/>
                <w:szCs w:val="21"/>
              </w:rPr>
              <w:t>分）</w:t>
            </w:r>
          </w:p>
        </w:tc>
        <w:tc>
          <w:tcPr>
            <w:tcW w:w="2277"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预算收入调整率</w:t>
            </w:r>
          </w:p>
        </w:tc>
        <w:tc>
          <w:tcPr>
            <w:tcW w:w="1155"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1.34</w:t>
            </w:r>
          </w:p>
        </w:tc>
      </w:tr>
      <w:tr w:rsidR="00D36435">
        <w:trPr>
          <w:trHeight w:hRule="exact" w:val="397"/>
          <w:jc w:val="center"/>
        </w:trPr>
        <w:tc>
          <w:tcPr>
            <w:tcW w:w="1557" w:type="dxa"/>
            <w:vMerge/>
            <w:vAlign w:val="center"/>
          </w:tcPr>
          <w:p w:rsidR="00D36435" w:rsidRDefault="00D36435">
            <w:pPr>
              <w:spacing w:line="420" w:lineRule="exact"/>
              <w:jc w:val="center"/>
              <w:rPr>
                <w:rFonts w:asciiTheme="minorEastAsia" w:eastAsiaTheme="minorEastAsia" w:hAnsiTheme="minorEastAsia" w:cs="宋体"/>
                <w:sz w:val="21"/>
                <w:szCs w:val="21"/>
              </w:rPr>
            </w:pPr>
          </w:p>
        </w:tc>
        <w:tc>
          <w:tcPr>
            <w:tcW w:w="1388" w:type="dxa"/>
            <w:vMerge/>
            <w:vAlign w:val="center"/>
          </w:tcPr>
          <w:p w:rsidR="00D36435" w:rsidRDefault="00D36435">
            <w:pPr>
              <w:spacing w:line="420" w:lineRule="exact"/>
              <w:jc w:val="center"/>
              <w:rPr>
                <w:rFonts w:asciiTheme="minorEastAsia" w:eastAsiaTheme="minorEastAsia" w:hAnsiTheme="minorEastAsia" w:cs="宋体"/>
                <w:sz w:val="21"/>
                <w:szCs w:val="21"/>
              </w:rPr>
            </w:pPr>
          </w:p>
        </w:tc>
        <w:tc>
          <w:tcPr>
            <w:tcW w:w="2277"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收入完成率</w:t>
            </w:r>
          </w:p>
        </w:tc>
        <w:tc>
          <w:tcPr>
            <w:tcW w:w="1155"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1.55</w:t>
            </w:r>
          </w:p>
        </w:tc>
      </w:tr>
      <w:tr w:rsidR="00D36435">
        <w:trPr>
          <w:trHeight w:hRule="exact" w:val="397"/>
          <w:jc w:val="center"/>
        </w:trPr>
        <w:tc>
          <w:tcPr>
            <w:tcW w:w="1557" w:type="dxa"/>
            <w:vMerge/>
            <w:vAlign w:val="center"/>
          </w:tcPr>
          <w:p w:rsidR="00D36435" w:rsidRDefault="00D36435">
            <w:pPr>
              <w:spacing w:line="420" w:lineRule="exact"/>
              <w:jc w:val="center"/>
              <w:rPr>
                <w:rFonts w:asciiTheme="minorEastAsia" w:eastAsiaTheme="minorEastAsia" w:hAnsiTheme="minorEastAsia" w:cs="宋体"/>
                <w:sz w:val="21"/>
                <w:szCs w:val="21"/>
              </w:rPr>
            </w:pPr>
          </w:p>
        </w:tc>
        <w:tc>
          <w:tcPr>
            <w:tcW w:w="1388" w:type="dxa"/>
            <w:vMerge/>
            <w:vAlign w:val="center"/>
          </w:tcPr>
          <w:p w:rsidR="00D36435" w:rsidRDefault="00D36435">
            <w:pPr>
              <w:spacing w:line="420" w:lineRule="exact"/>
              <w:jc w:val="center"/>
              <w:rPr>
                <w:rFonts w:asciiTheme="minorEastAsia" w:eastAsiaTheme="minorEastAsia" w:hAnsiTheme="minorEastAsia" w:cs="宋体"/>
                <w:sz w:val="21"/>
                <w:szCs w:val="21"/>
              </w:rPr>
            </w:pPr>
          </w:p>
        </w:tc>
        <w:tc>
          <w:tcPr>
            <w:tcW w:w="2277"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预算支出调整率</w:t>
            </w:r>
          </w:p>
        </w:tc>
        <w:tc>
          <w:tcPr>
            <w:tcW w:w="1155"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1.34</w:t>
            </w:r>
          </w:p>
        </w:tc>
      </w:tr>
      <w:tr w:rsidR="00D36435">
        <w:trPr>
          <w:trHeight w:hRule="exact" w:val="397"/>
          <w:jc w:val="center"/>
        </w:trPr>
        <w:tc>
          <w:tcPr>
            <w:tcW w:w="1557" w:type="dxa"/>
            <w:vMerge/>
            <w:vAlign w:val="center"/>
          </w:tcPr>
          <w:p w:rsidR="00D36435" w:rsidRDefault="00D36435">
            <w:pPr>
              <w:spacing w:line="420" w:lineRule="exact"/>
              <w:jc w:val="center"/>
              <w:rPr>
                <w:rFonts w:asciiTheme="minorEastAsia" w:eastAsiaTheme="minorEastAsia" w:hAnsiTheme="minorEastAsia" w:cs="宋体"/>
                <w:sz w:val="21"/>
                <w:szCs w:val="21"/>
              </w:rPr>
            </w:pPr>
          </w:p>
        </w:tc>
        <w:tc>
          <w:tcPr>
            <w:tcW w:w="1388" w:type="dxa"/>
            <w:vMerge/>
            <w:vAlign w:val="center"/>
          </w:tcPr>
          <w:p w:rsidR="00D36435" w:rsidRDefault="00D36435">
            <w:pPr>
              <w:spacing w:line="420" w:lineRule="exact"/>
              <w:jc w:val="center"/>
              <w:rPr>
                <w:rFonts w:asciiTheme="minorEastAsia" w:eastAsiaTheme="minorEastAsia" w:hAnsiTheme="minorEastAsia" w:cs="宋体"/>
                <w:sz w:val="21"/>
                <w:szCs w:val="21"/>
              </w:rPr>
            </w:pPr>
          </w:p>
        </w:tc>
        <w:tc>
          <w:tcPr>
            <w:tcW w:w="2277"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财政拨款支出完成率</w:t>
            </w:r>
          </w:p>
        </w:tc>
        <w:tc>
          <w:tcPr>
            <w:tcW w:w="1155"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D36435">
        <w:trPr>
          <w:trHeight w:hRule="exact" w:val="397"/>
          <w:jc w:val="center"/>
        </w:trPr>
        <w:tc>
          <w:tcPr>
            <w:tcW w:w="1557" w:type="dxa"/>
            <w:vMerge/>
            <w:vAlign w:val="center"/>
          </w:tcPr>
          <w:p w:rsidR="00D36435" w:rsidRDefault="00D36435">
            <w:pPr>
              <w:spacing w:line="420" w:lineRule="exact"/>
              <w:jc w:val="center"/>
              <w:rPr>
                <w:rFonts w:asciiTheme="minorEastAsia" w:eastAsiaTheme="minorEastAsia" w:hAnsiTheme="minorEastAsia" w:cs="宋体"/>
                <w:sz w:val="21"/>
                <w:szCs w:val="21"/>
              </w:rPr>
            </w:pPr>
          </w:p>
        </w:tc>
        <w:tc>
          <w:tcPr>
            <w:tcW w:w="1388" w:type="dxa"/>
            <w:vMerge/>
            <w:vAlign w:val="center"/>
          </w:tcPr>
          <w:p w:rsidR="00D36435" w:rsidRDefault="00D36435">
            <w:pPr>
              <w:spacing w:line="420" w:lineRule="exact"/>
              <w:jc w:val="center"/>
              <w:rPr>
                <w:rFonts w:asciiTheme="minorEastAsia" w:eastAsiaTheme="minorEastAsia" w:hAnsiTheme="minorEastAsia" w:cs="宋体"/>
                <w:sz w:val="21"/>
                <w:szCs w:val="21"/>
              </w:rPr>
            </w:pPr>
          </w:p>
        </w:tc>
        <w:tc>
          <w:tcPr>
            <w:tcW w:w="2277"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“三公经费”控制率</w:t>
            </w:r>
          </w:p>
        </w:tc>
        <w:tc>
          <w:tcPr>
            <w:tcW w:w="1155"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D36435">
        <w:trPr>
          <w:trHeight w:hRule="exact" w:val="397"/>
          <w:jc w:val="center"/>
        </w:trPr>
        <w:tc>
          <w:tcPr>
            <w:tcW w:w="1557" w:type="dxa"/>
            <w:vMerge/>
            <w:vAlign w:val="center"/>
          </w:tcPr>
          <w:p w:rsidR="00D36435" w:rsidRDefault="00D36435">
            <w:pPr>
              <w:spacing w:line="420" w:lineRule="exact"/>
              <w:jc w:val="center"/>
              <w:rPr>
                <w:rFonts w:asciiTheme="minorEastAsia" w:eastAsiaTheme="minorEastAsia" w:hAnsiTheme="minorEastAsia" w:cs="宋体"/>
                <w:sz w:val="21"/>
                <w:szCs w:val="21"/>
              </w:rPr>
            </w:pPr>
          </w:p>
        </w:tc>
        <w:tc>
          <w:tcPr>
            <w:tcW w:w="1388" w:type="dxa"/>
            <w:vMerge/>
            <w:vAlign w:val="center"/>
          </w:tcPr>
          <w:p w:rsidR="00D36435" w:rsidRDefault="00D36435">
            <w:pPr>
              <w:spacing w:line="420" w:lineRule="exact"/>
              <w:jc w:val="center"/>
              <w:rPr>
                <w:rFonts w:asciiTheme="minorEastAsia" w:eastAsiaTheme="minorEastAsia" w:hAnsiTheme="minorEastAsia" w:cs="宋体"/>
                <w:sz w:val="21"/>
                <w:szCs w:val="21"/>
              </w:rPr>
            </w:pPr>
          </w:p>
        </w:tc>
        <w:tc>
          <w:tcPr>
            <w:tcW w:w="2277"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政府采购执行率</w:t>
            </w:r>
          </w:p>
        </w:tc>
        <w:tc>
          <w:tcPr>
            <w:tcW w:w="1155"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D36435">
        <w:trPr>
          <w:trHeight w:hRule="exact" w:val="397"/>
          <w:jc w:val="center"/>
        </w:trPr>
        <w:tc>
          <w:tcPr>
            <w:tcW w:w="1557" w:type="dxa"/>
            <w:vMerge/>
            <w:vAlign w:val="center"/>
          </w:tcPr>
          <w:p w:rsidR="00D36435" w:rsidRDefault="00D36435">
            <w:pPr>
              <w:spacing w:line="420" w:lineRule="exact"/>
              <w:jc w:val="center"/>
              <w:rPr>
                <w:rFonts w:asciiTheme="minorEastAsia" w:eastAsiaTheme="minorEastAsia" w:hAnsiTheme="minorEastAsia" w:cs="宋体"/>
                <w:sz w:val="21"/>
                <w:szCs w:val="21"/>
              </w:rPr>
            </w:pPr>
          </w:p>
        </w:tc>
        <w:tc>
          <w:tcPr>
            <w:tcW w:w="1388" w:type="dxa"/>
            <w:vMerge/>
            <w:vAlign w:val="center"/>
          </w:tcPr>
          <w:p w:rsidR="00D36435" w:rsidRDefault="00D36435">
            <w:pPr>
              <w:spacing w:line="420" w:lineRule="exact"/>
              <w:jc w:val="center"/>
              <w:rPr>
                <w:rFonts w:asciiTheme="minorEastAsia" w:eastAsiaTheme="minorEastAsia" w:hAnsiTheme="minorEastAsia" w:cs="宋体"/>
                <w:sz w:val="21"/>
                <w:szCs w:val="21"/>
              </w:rPr>
            </w:pPr>
          </w:p>
        </w:tc>
        <w:tc>
          <w:tcPr>
            <w:tcW w:w="2277"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资金使用合</w:t>
            </w:r>
            <w:proofErr w:type="gramStart"/>
            <w:r>
              <w:rPr>
                <w:rFonts w:asciiTheme="minorEastAsia" w:eastAsiaTheme="minorEastAsia" w:hAnsiTheme="minorEastAsia" w:cs="宋体" w:hint="eastAsia"/>
                <w:sz w:val="21"/>
                <w:szCs w:val="21"/>
              </w:rPr>
              <w:t>规</w:t>
            </w:r>
            <w:proofErr w:type="gramEnd"/>
            <w:r>
              <w:rPr>
                <w:rFonts w:asciiTheme="minorEastAsia" w:eastAsiaTheme="minorEastAsia" w:hAnsiTheme="minorEastAsia" w:cs="宋体" w:hint="eastAsia"/>
                <w:sz w:val="21"/>
                <w:szCs w:val="21"/>
              </w:rPr>
              <w:t>性</w:t>
            </w:r>
          </w:p>
        </w:tc>
        <w:tc>
          <w:tcPr>
            <w:tcW w:w="1155"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D36435">
        <w:trPr>
          <w:trHeight w:hRule="exact" w:val="397"/>
          <w:jc w:val="center"/>
        </w:trPr>
        <w:tc>
          <w:tcPr>
            <w:tcW w:w="1557" w:type="dxa"/>
            <w:vMerge/>
            <w:vAlign w:val="center"/>
          </w:tcPr>
          <w:p w:rsidR="00D36435" w:rsidRDefault="00D36435">
            <w:pPr>
              <w:spacing w:line="420" w:lineRule="exact"/>
              <w:jc w:val="center"/>
              <w:rPr>
                <w:rFonts w:asciiTheme="minorEastAsia" w:eastAsiaTheme="minorEastAsia" w:hAnsiTheme="minorEastAsia" w:cs="宋体"/>
                <w:sz w:val="21"/>
                <w:szCs w:val="21"/>
              </w:rPr>
            </w:pPr>
          </w:p>
        </w:tc>
        <w:tc>
          <w:tcPr>
            <w:tcW w:w="1388" w:type="dxa"/>
            <w:vMerge/>
            <w:vAlign w:val="center"/>
          </w:tcPr>
          <w:p w:rsidR="00D36435" w:rsidRDefault="00D36435">
            <w:pPr>
              <w:spacing w:line="420" w:lineRule="exact"/>
              <w:jc w:val="center"/>
              <w:rPr>
                <w:rFonts w:asciiTheme="minorEastAsia" w:eastAsiaTheme="minorEastAsia" w:hAnsiTheme="minorEastAsia" w:cs="宋体"/>
                <w:sz w:val="21"/>
                <w:szCs w:val="21"/>
              </w:rPr>
            </w:pPr>
          </w:p>
        </w:tc>
        <w:tc>
          <w:tcPr>
            <w:tcW w:w="2277"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决算真实性</w:t>
            </w:r>
          </w:p>
        </w:tc>
        <w:tc>
          <w:tcPr>
            <w:tcW w:w="1155"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D36435">
        <w:trPr>
          <w:trHeight w:hRule="exact" w:val="397"/>
          <w:jc w:val="center"/>
        </w:trPr>
        <w:tc>
          <w:tcPr>
            <w:tcW w:w="1557" w:type="dxa"/>
            <w:vMerge/>
            <w:vAlign w:val="center"/>
          </w:tcPr>
          <w:p w:rsidR="00D36435" w:rsidRDefault="00D36435">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预算管理</w:t>
            </w:r>
          </w:p>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16</w:t>
            </w:r>
            <w:r>
              <w:rPr>
                <w:rFonts w:asciiTheme="minorEastAsia" w:eastAsiaTheme="minorEastAsia" w:hAnsiTheme="minorEastAsia" w:cs="宋体" w:hint="eastAsia"/>
                <w:sz w:val="21"/>
                <w:szCs w:val="21"/>
              </w:rPr>
              <w:t>分）</w:t>
            </w:r>
          </w:p>
        </w:tc>
        <w:tc>
          <w:tcPr>
            <w:tcW w:w="2277"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管理制度健全性</w:t>
            </w:r>
          </w:p>
        </w:tc>
        <w:tc>
          <w:tcPr>
            <w:tcW w:w="1155"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D36435">
        <w:trPr>
          <w:trHeight w:hRule="exact" w:val="397"/>
          <w:jc w:val="center"/>
        </w:trPr>
        <w:tc>
          <w:tcPr>
            <w:tcW w:w="1557" w:type="dxa"/>
            <w:vMerge/>
            <w:vAlign w:val="center"/>
          </w:tcPr>
          <w:p w:rsidR="00D36435" w:rsidRDefault="00D36435">
            <w:pPr>
              <w:spacing w:line="420" w:lineRule="exact"/>
              <w:jc w:val="center"/>
              <w:rPr>
                <w:rFonts w:asciiTheme="minorEastAsia" w:eastAsiaTheme="minorEastAsia" w:hAnsiTheme="minorEastAsia" w:cs="宋体"/>
                <w:sz w:val="21"/>
                <w:szCs w:val="21"/>
              </w:rPr>
            </w:pPr>
          </w:p>
        </w:tc>
        <w:tc>
          <w:tcPr>
            <w:tcW w:w="1388" w:type="dxa"/>
            <w:vMerge/>
            <w:vAlign w:val="center"/>
          </w:tcPr>
          <w:p w:rsidR="00D36435" w:rsidRDefault="00D36435">
            <w:pPr>
              <w:spacing w:line="420" w:lineRule="exact"/>
              <w:jc w:val="center"/>
              <w:rPr>
                <w:rFonts w:asciiTheme="minorEastAsia" w:eastAsiaTheme="minorEastAsia" w:hAnsiTheme="minorEastAsia" w:cs="宋体"/>
                <w:sz w:val="21"/>
                <w:szCs w:val="21"/>
              </w:rPr>
            </w:pPr>
          </w:p>
        </w:tc>
        <w:tc>
          <w:tcPr>
            <w:tcW w:w="2277"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预决算信息公开</w:t>
            </w:r>
          </w:p>
        </w:tc>
        <w:tc>
          <w:tcPr>
            <w:tcW w:w="1155"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D36435">
        <w:trPr>
          <w:trHeight w:hRule="exact" w:val="397"/>
          <w:jc w:val="center"/>
        </w:trPr>
        <w:tc>
          <w:tcPr>
            <w:tcW w:w="1557" w:type="dxa"/>
            <w:vMerge/>
            <w:vAlign w:val="center"/>
          </w:tcPr>
          <w:p w:rsidR="00D36435" w:rsidRDefault="00D36435">
            <w:pPr>
              <w:spacing w:line="420" w:lineRule="exact"/>
              <w:jc w:val="center"/>
              <w:rPr>
                <w:rFonts w:asciiTheme="minorEastAsia" w:eastAsiaTheme="minorEastAsia" w:hAnsiTheme="minorEastAsia" w:cs="宋体"/>
                <w:sz w:val="21"/>
                <w:szCs w:val="21"/>
              </w:rPr>
            </w:pPr>
          </w:p>
        </w:tc>
        <w:tc>
          <w:tcPr>
            <w:tcW w:w="1388" w:type="dxa"/>
            <w:vMerge/>
            <w:vAlign w:val="center"/>
          </w:tcPr>
          <w:p w:rsidR="00D36435" w:rsidRDefault="00D36435">
            <w:pPr>
              <w:spacing w:line="420" w:lineRule="exact"/>
              <w:jc w:val="center"/>
              <w:rPr>
                <w:rFonts w:asciiTheme="minorEastAsia" w:eastAsiaTheme="minorEastAsia" w:hAnsiTheme="minorEastAsia" w:cs="宋体"/>
                <w:sz w:val="21"/>
                <w:szCs w:val="21"/>
              </w:rPr>
            </w:pPr>
          </w:p>
        </w:tc>
        <w:tc>
          <w:tcPr>
            <w:tcW w:w="2277"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基础信息完善性</w:t>
            </w:r>
          </w:p>
        </w:tc>
        <w:tc>
          <w:tcPr>
            <w:tcW w:w="1155"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r>
      <w:tr w:rsidR="00D36435">
        <w:trPr>
          <w:trHeight w:hRule="exact" w:val="397"/>
          <w:jc w:val="center"/>
        </w:trPr>
        <w:tc>
          <w:tcPr>
            <w:tcW w:w="1557" w:type="dxa"/>
            <w:vMerge/>
            <w:vAlign w:val="center"/>
          </w:tcPr>
          <w:p w:rsidR="00D36435" w:rsidRDefault="00D36435">
            <w:pPr>
              <w:spacing w:line="420" w:lineRule="exact"/>
              <w:jc w:val="center"/>
              <w:rPr>
                <w:rFonts w:asciiTheme="minorEastAsia" w:eastAsiaTheme="minorEastAsia" w:hAnsiTheme="minorEastAsia" w:cs="宋体"/>
                <w:sz w:val="21"/>
                <w:szCs w:val="21"/>
              </w:rPr>
            </w:pPr>
          </w:p>
        </w:tc>
        <w:tc>
          <w:tcPr>
            <w:tcW w:w="1388" w:type="dxa"/>
            <w:vMerge/>
            <w:vAlign w:val="center"/>
          </w:tcPr>
          <w:p w:rsidR="00D36435" w:rsidRDefault="00D36435">
            <w:pPr>
              <w:spacing w:line="420" w:lineRule="exact"/>
              <w:jc w:val="center"/>
              <w:rPr>
                <w:rFonts w:asciiTheme="minorEastAsia" w:eastAsiaTheme="minorEastAsia" w:hAnsiTheme="minorEastAsia" w:cs="宋体"/>
                <w:sz w:val="21"/>
                <w:szCs w:val="21"/>
              </w:rPr>
            </w:pPr>
          </w:p>
        </w:tc>
        <w:tc>
          <w:tcPr>
            <w:tcW w:w="2277"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资产管理规范性</w:t>
            </w:r>
          </w:p>
        </w:tc>
        <w:tc>
          <w:tcPr>
            <w:tcW w:w="1155"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r>
      <w:tr w:rsidR="00D36435">
        <w:trPr>
          <w:trHeight w:hRule="exact" w:val="467"/>
          <w:jc w:val="center"/>
        </w:trPr>
        <w:tc>
          <w:tcPr>
            <w:tcW w:w="1557" w:type="dxa"/>
            <w:vMerge/>
            <w:vAlign w:val="center"/>
          </w:tcPr>
          <w:p w:rsidR="00D36435" w:rsidRDefault="00D36435">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w:t>
            </w:r>
          </w:p>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8</w:t>
            </w:r>
            <w:r>
              <w:rPr>
                <w:rFonts w:asciiTheme="minorEastAsia" w:eastAsiaTheme="minorEastAsia" w:hAnsiTheme="minorEastAsia" w:cs="宋体" w:hint="eastAsia"/>
                <w:sz w:val="21"/>
                <w:szCs w:val="21"/>
              </w:rPr>
              <w:t>分）</w:t>
            </w:r>
          </w:p>
        </w:tc>
        <w:tc>
          <w:tcPr>
            <w:tcW w:w="2277"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绩效自评覆盖率</w:t>
            </w:r>
          </w:p>
        </w:tc>
        <w:tc>
          <w:tcPr>
            <w:tcW w:w="1155"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D36435">
        <w:trPr>
          <w:trHeight w:hRule="exact" w:val="482"/>
          <w:jc w:val="center"/>
        </w:trPr>
        <w:tc>
          <w:tcPr>
            <w:tcW w:w="1557" w:type="dxa"/>
            <w:vMerge/>
            <w:vAlign w:val="center"/>
          </w:tcPr>
          <w:p w:rsidR="00D36435" w:rsidRDefault="00D36435">
            <w:pPr>
              <w:spacing w:line="420" w:lineRule="exact"/>
              <w:jc w:val="center"/>
              <w:rPr>
                <w:rFonts w:asciiTheme="minorEastAsia" w:eastAsiaTheme="minorEastAsia" w:hAnsiTheme="minorEastAsia" w:cs="宋体"/>
                <w:sz w:val="21"/>
                <w:szCs w:val="21"/>
              </w:rPr>
            </w:pPr>
          </w:p>
        </w:tc>
        <w:tc>
          <w:tcPr>
            <w:tcW w:w="1388" w:type="dxa"/>
            <w:vMerge/>
            <w:vAlign w:val="center"/>
          </w:tcPr>
          <w:p w:rsidR="00D36435" w:rsidRDefault="00D36435">
            <w:pPr>
              <w:spacing w:line="420" w:lineRule="exact"/>
              <w:jc w:val="center"/>
              <w:rPr>
                <w:rFonts w:asciiTheme="minorEastAsia" w:eastAsiaTheme="minorEastAsia" w:hAnsiTheme="minorEastAsia" w:cs="宋体"/>
                <w:sz w:val="21"/>
                <w:szCs w:val="21"/>
              </w:rPr>
            </w:pPr>
          </w:p>
        </w:tc>
        <w:tc>
          <w:tcPr>
            <w:tcW w:w="2277"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绩效评价优等率</w:t>
            </w:r>
          </w:p>
        </w:tc>
        <w:tc>
          <w:tcPr>
            <w:tcW w:w="1155"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D36435">
        <w:trPr>
          <w:trHeight w:hRule="exact" w:val="397"/>
          <w:jc w:val="center"/>
        </w:trPr>
        <w:tc>
          <w:tcPr>
            <w:tcW w:w="2945" w:type="dxa"/>
            <w:gridSpan w:val="2"/>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277" w:type="dxa"/>
            <w:vAlign w:val="center"/>
          </w:tcPr>
          <w:p w:rsidR="00D36435" w:rsidRDefault="00D36435">
            <w:pPr>
              <w:spacing w:line="420" w:lineRule="exact"/>
              <w:jc w:val="center"/>
              <w:rPr>
                <w:rFonts w:asciiTheme="minorEastAsia" w:eastAsiaTheme="minorEastAsia" w:hAnsiTheme="minorEastAsia" w:cs="宋体"/>
                <w:sz w:val="21"/>
                <w:szCs w:val="21"/>
              </w:rPr>
            </w:pPr>
          </w:p>
        </w:tc>
        <w:tc>
          <w:tcPr>
            <w:tcW w:w="1155"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48</w:t>
            </w:r>
          </w:p>
        </w:tc>
        <w:tc>
          <w:tcPr>
            <w:tcW w:w="1276" w:type="dxa"/>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42.23</w:t>
            </w:r>
          </w:p>
        </w:tc>
      </w:tr>
    </w:tbl>
    <w:p w:rsidR="00D36435" w:rsidRDefault="00C05A13">
      <w:pPr>
        <w:spacing w:after="0" w:line="360" w:lineRule="auto"/>
        <w:ind w:firstLineChars="200" w:firstLine="640"/>
        <w:jc w:val="both"/>
        <w:textAlignment w:val="baseline"/>
        <w:rPr>
          <w:rFonts w:ascii="仿宋_GB2312" w:eastAsia="仿宋_GB2312" w:cs="DengXian-Regular"/>
          <w:sz w:val="32"/>
          <w:szCs w:val="32"/>
        </w:rPr>
      </w:pPr>
      <w:bookmarkStart w:id="64" w:name="_Toc464638487"/>
      <w:bookmarkStart w:id="65" w:name="_Toc465149514"/>
      <w:bookmarkEnd w:id="63"/>
      <w:r>
        <w:rPr>
          <w:rFonts w:ascii="仿宋_GB2312" w:eastAsia="仿宋_GB2312" w:cs="DengXian-Regular" w:hint="eastAsia"/>
          <w:sz w:val="32"/>
          <w:szCs w:val="32"/>
        </w:rPr>
        <w:t>1.</w:t>
      </w:r>
      <w:r>
        <w:rPr>
          <w:rFonts w:ascii="仿宋_GB2312" w:eastAsia="仿宋_GB2312" w:cs="DengXian-Regular" w:hint="eastAsia"/>
          <w:sz w:val="32"/>
          <w:szCs w:val="32"/>
        </w:rPr>
        <w:t>预算执行（</w:t>
      </w:r>
      <w:r>
        <w:rPr>
          <w:rFonts w:ascii="仿宋_GB2312" w:eastAsia="仿宋_GB2312" w:cs="DengXian-Regular" w:hint="eastAsia"/>
          <w:sz w:val="32"/>
          <w:szCs w:val="32"/>
        </w:rPr>
        <w:t>24</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1</w:t>
      </w:r>
      <w:r>
        <w:rPr>
          <w:rFonts w:ascii="仿宋_GB2312" w:eastAsia="仿宋_GB2312" w:cs="DengXian-Regular" w:hint="eastAsia"/>
          <w:sz w:val="32"/>
          <w:szCs w:val="32"/>
        </w:rPr>
        <w:t>）预算收入调整率（</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该指标主要评价预算收入的调整情况，进而衡量预算收入编制的准确性，通过预算收入调整率衡量。</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预算收入调整率</w:t>
      </w:r>
      <w:r>
        <w:rPr>
          <w:rFonts w:ascii="仿宋_GB2312" w:eastAsia="仿宋_GB2312" w:cs="DengXian-Regular" w:hint="eastAsia"/>
          <w:sz w:val="32"/>
          <w:szCs w:val="32"/>
        </w:rPr>
        <w:t>=</w:t>
      </w:r>
      <w:r>
        <w:rPr>
          <w:rFonts w:ascii="仿宋_GB2312" w:eastAsia="仿宋_GB2312" w:cs="DengXian-Regular" w:hint="eastAsia"/>
          <w:sz w:val="32"/>
          <w:szCs w:val="32"/>
        </w:rPr>
        <w:t>（调整预算数</w:t>
      </w:r>
      <w:r>
        <w:rPr>
          <w:rFonts w:ascii="仿宋_GB2312" w:eastAsia="仿宋_GB2312" w:cs="DengXian-Regular" w:hint="eastAsia"/>
          <w:sz w:val="32"/>
          <w:szCs w:val="32"/>
        </w:rPr>
        <w:t>-</w:t>
      </w:r>
      <w:r>
        <w:rPr>
          <w:rFonts w:ascii="仿宋_GB2312" w:eastAsia="仿宋_GB2312" w:cs="DengXian-Regular" w:hint="eastAsia"/>
          <w:sz w:val="32"/>
          <w:szCs w:val="32"/>
        </w:rPr>
        <w:t>年初预算数）</w:t>
      </w:r>
      <w:r>
        <w:rPr>
          <w:rFonts w:ascii="仿宋_GB2312" w:eastAsia="仿宋_GB2312" w:cs="DengXian-Regular" w:hint="eastAsia"/>
          <w:sz w:val="32"/>
          <w:szCs w:val="32"/>
        </w:rPr>
        <w:t>/</w:t>
      </w:r>
      <w:r>
        <w:rPr>
          <w:rFonts w:ascii="仿宋_GB2312" w:eastAsia="仿宋_GB2312" w:cs="DengXian-Regular" w:hint="eastAsia"/>
          <w:sz w:val="32"/>
          <w:szCs w:val="32"/>
        </w:rPr>
        <w:t>年初预算数</w:t>
      </w:r>
      <w:r>
        <w:rPr>
          <w:rFonts w:ascii="仿宋_GB2312" w:eastAsia="仿宋_GB2312" w:cs="DengXian-Regular" w:hint="eastAsia"/>
          <w:sz w:val="32"/>
          <w:szCs w:val="32"/>
        </w:rPr>
        <w:t>*100%</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Pr>
          <w:rFonts w:ascii="仿宋_GB2312" w:eastAsia="仿宋_GB2312" w:cs="DengXian-Regular" w:hint="eastAsia"/>
          <w:sz w:val="32"/>
          <w:szCs w:val="32"/>
        </w:rPr>
        <w:t>区法院</w:t>
      </w:r>
      <w:r>
        <w:rPr>
          <w:rFonts w:ascii="仿宋_GB2312" w:eastAsia="仿宋_GB2312" w:cs="DengXian-Regular" w:hint="eastAsia"/>
          <w:sz w:val="32"/>
          <w:szCs w:val="32"/>
        </w:rPr>
        <w:t>的预算指标文件，其中：保财</w:t>
      </w:r>
      <w:r>
        <w:rPr>
          <w:rFonts w:ascii="仿宋_GB2312" w:eastAsia="仿宋_GB2312" w:cs="DengXian-Regular"/>
          <w:sz w:val="32"/>
          <w:szCs w:val="32"/>
        </w:rPr>
        <w:t>行</w:t>
      </w:r>
      <w:r>
        <w:rPr>
          <w:rFonts w:ascii="仿宋_GB2312" w:eastAsia="仿宋_GB2312" w:cs="DengXian-Regular" w:hint="eastAsia"/>
          <w:sz w:val="32"/>
          <w:szCs w:val="32"/>
        </w:rPr>
        <w:t>[201</w:t>
      </w:r>
      <w:r>
        <w:rPr>
          <w:rFonts w:ascii="仿宋_GB2312" w:eastAsia="仿宋_GB2312" w:cs="DengXian-Regular"/>
          <w:sz w:val="32"/>
          <w:szCs w:val="32"/>
        </w:rPr>
        <w:t>8</w:t>
      </w:r>
      <w:r>
        <w:rPr>
          <w:rFonts w:ascii="仿宋_GB2312" w:eastAsia="仿宋_GB2312" w:cs="DengXian-Regular" w:hint="eastAsia"/>
          <w:sz w:val="32"/>
          <w:szCs w:val="32"/>
        </w:rPr>
        <w:t>]</w:t>
      </w:r>
      <w:r>
        <w:rPr>
          <w:rFonts w:ascii="仿宋_GB2312" w:eastAsia="仿宋_GB2312" w:cs="DengXian-Regular"/>
          <w:sz w:val="32"/>
          <w:szCs w:val="32"/>
        </w:rPr>
        <w:t>31</w:t>
      </w:r>
      <w:r>
        <w:rPr>
          <w:rFonts w:ascii="仿宋_GB2312" w:eastAsia="仿宋_GB2312" w:cs="DengXian-Regular" w:hint="eastAsia"/>
          <w:sz w:val="32"/>
          <w:szCs w:val="32"/>
        </w:rPr>
        <w:t>号追加</w:t>
      </w:r>
      <w:r>
        <w:rPr>
          <w:rFonts w:ascii="仿宋_GB2312" w:eastAsia="仿宋_GB2312" w:cs="DengXian-Regular" w:hint="eastAsia"/>
          <w:sz w:val="32"/>
          <w:szCs w:val="32"/>
        </w:rPr>
        <w:t>2018</w:t>
      </w:r>
      <w:r>
        <w:rPr>
          <w:rFonts w:ascii="仿宋_GB2312" w:eastAsia="仿宋_GB2312" w:cs="DengXian-Regular" w:hint="eastAsia"/>
          <w:sz w:val="32"/>
          <w:szCs w:val="32"/>
        </w:rPr>
        <w:t>年法院建设</w:t>
      </w:r>
      <w:r>
        <w:rPr>
          <w:rFonts w:ascii="仿宋_GB2312" w:eastAsia="仿宋_GB2312" w:cs="DengXian-Regular"/>
          <w:sz w:val="32"/>
          <w:szCs w:val="32"/>
        </w:rPr>
        <w:t>补助经费</w:t>
      </w:r>
      <w:r>
        <w:rPr>
          <w:rFonts w:ascii="仿宋_GB2312" w:eastAsia="仿宋_GB2312" w:cs="DengXian-Regular"/>
          <w:sz w:val="32"/>
          <w:szCs w:val="32"/>
        </w:rPr>
        <w:t>20</w:t>
      </w:r>
      <w:r>
        <w:rPr>
          <w:rFonts w:ascii="仿宋_GB2312" w:eastAsia="仿宋_GB2312" w:cs="DengXian-Regular" w:hint="eastAsia"/>
          <w:sz w:val="32"/>
          <w:szCs w:val="32"/>
        </w:rPr>
        <w:t>万元；</w:t>
      </w:r>
      <w:proofErr w:type="gramStart"/>
      <w:r>
        <w:rPr>
          <w:rFonts w:ascii="仿宋_GB2312" w:eastAsia="仿宋_GB2312" w:cs="DengXian-Regular" w:hint="eastAsia"/>
          <w:sz w:val="32"/>
          <w:szCs w:val="32"/>
        </w:rPr>
        <w:t>徐财预指</w:t>
      </w:r>
      <w:proofErr w:type="gramEnd"/>
      <w:r>
        <w:rPr>
          <w:rFonts w:ascii="仿宋_GB2312" w:eastAsia="仿宋_GB2312" w:cs="DengXian-Regular" w:hint="eastAsia"/>
          <w:sz w:val="32"/>
          <w:szCs w:val="32"/>
        </w:rPr>
        <w:t>[2019]</w:t>
      </w:r>
      <w:r>
        <w:rPr>
          <w:rFonts w:ascii="仿宋_GB2312" w:eastAsia="仿宋_GB2312" w:cs="DengXian-Regular"/>
          <w:sz w:val="32"/>
          <w:szCs w:val="32"/>
        </w:rPr>
        <w:t>1-1373</w:t>
      </w:r>
      <w:r>
        <w:rPr>
          <w:rFonts w:ascii="仿宋_GB2312" w:eastAsia="仿宋_GB2312" w:cs="DengXian-Regular" w:hint="eastAsia"/>
          <w:sz w:val="32"/>
          <w:szCs w:val="32"/>
        </w:rPr>
        <w:t>号追加机要通讯</w:t>
      </w:r>
      <w:r>
        <w:rPr>
          <w:rFonts w:ascii="仿宋_GB2312" w:eastAsia="仿宋_GB2312" w:cs="DengXian-Regular"/>
          <w:sz w:val="32"/>
          <w:szCs w:val="32"/>
        </w:rPr>
        <w:t>用车购置资金</w:t>
      </w:r>
      <w:r>
        <w:rPr>
          <w:rFonts w:ascii="仿宋_GB2312" w:eastAsia="仿宋_GB2312" w:cs="DengXian-Regular" w:hint="eastAsia"/>
          <w:sz w:val="32"/>
          <w:szCs w:val="32"/>
        </w:rPr>
        <w:t>合计</w:t>
      </w:r>
      <w:r>
        <w:rPr>
          <w:rFonts w:ascii="仿宋_GB2312" w:eastAsia="仿宋_GB2312" w:cs="DengXian-Regular"/>
          <w:sz w:val="32"/>
          <w:szCs w:val="32"/>
        </w:rPr>
        <w:t>11.99</w:t>
      </w:r>
      <w:r>
        <w:rPr>
          <w:rFonts w:ascii="仿宋_GB2312" w:eastAsia="仿宋_GB2312" w:cs="DengXian-Regular" w:hint="eastAsia"/>
          <w:sz w:val="32"/>
          <w:szCs w:val="32"/>
        </w:rPr>
        <w:t>万元；保财行</w:t>
      </w:r>
      <w:r>
        <w:rPr>
          <w:rFonts w:ascii="仿宋_GB2312" w:eastAsia="仿宋_GB2312" w:cs="DengXian-Regular" w:hint="eastAsia"/>
          <w:sz w:val="32"/>
          <w:szCs w:val="32"/>
        </w:rPr>
        <w:t>[2019]</w:t>
      </w:r>
      <w:r>
        <w:rPr>
          <w:rFonts w:ascii="仿宋_GB2312" w:eastAsia="仿宋_GB2312" w:cs="DengXian-Regular"/>
          <w:sz w:val="32"/>
          <w:szCs w:val="32"/>
        </w:rPr>
        <w:t>10</w:t>
      </w:r>
      <w:r>
        <w:rPr>
          <w:rFonts w:ascii="仿宋_GB2312" w:eastAsia="仿宋_GB2312" w:cs="DengXian-Regular" w:hint="eastAsia"/>
          <w:sz w:val="32"/>
          <w:szCs w:val="32"/>
        </w:rPr>
        <w:t>号追加</w:t>
      </w:r>
      <w:r>
        <w:rPr>
          <w:rFonts w:ascii="仿宋_GB2312" w:eastAsia="仿宋_GB2312" w:cs="DengXian-Regular" w:hint="eastAsia"/>
          <w:sz w:val="32"/>
          <w:szCs w:val="32"/>
        </w:rPr>
        <w:t>2019</w:t>
      </w:r>
      <w:r>
        <w:rPr>
          <w:rFonts w:ascii="仿宋_GB2312" w:eastAsia="仿宋_GB2312" w:cs="DengXian-Regular" w:hint="eastAsia"/>
          <w:sz w:val="32"/>
          <w:szCs w:val="32"/>
        </w:rPr>
        <w:t>年</w:t>
      </w:r>
      <w:r>
        <w:rPr>
          <w:rFonts w:ascii="仿宋_GB2312" w:eastAsia="仿宋_GB2312" w:cs="DengXian-Regular"/>
          <w:sz w:val="32"/>
          <w:szCs w:val="32"/>
        </w:rPr>
        <w:t>中央政法纪检监察转移支付资金</w:t>
      </w:r>
      <w:r>
        <w:rPr>
          <w:rFonts w:ascii="仿宋_GB2312" w:eastAsia="仿宋_GB2312" w:cs="DengXian-Regular" w:hint="eastAsia"/>
          <w:sz w:val="32"/>
          <w:szCs w:val="32"/>
        </w:rPr>
        <w:t>54</w:t>
      </w:r>
      <w:r>
        <w:rPr>
          <w:rFonts w:ascii="仿宋_GB2312" w:eastAsia="仿宋_GB2312" w:cs="DengXian-Regular" w:hint="eastAsia"/>
          <w:sz w:val="32"/>
          <w:szCs w:val="32"/>
        </w:rPr>
        <w:t>万元，我单位</w:t>
      </w:r>
      <w:r>
        <w:rPr>
          <w:rFonts w:ascii="仿宋_GB2312" w:eastAsia="仿宋_GB2312" w:cs="DengXian-Regular" w:hint="eastAsia"/>
          <w:sz w:val="32"/>
          <w:szCs w:val="32"/>
        </w:rPr>
        <w:t>2019</w:t>
      </w:r>
      <w:r>
        <w:rPr>
          <w:rFonts w:ascii="仿宋_GB2312" w:eastAsia="仿宋_GB2312" w:cs="DengXian-Regular" w:hint="eastAsia"/>
          <w:sz w:val="32"/>
          <w:szCs w:val="32"/>
        </w:rPr>
        <w:t>年度预算收入的追加数</w:t>
      </w:r>
      <w:r>
        <w:rPr>
          <w:rFonts w:ascii="仿宋_GB2312" w:eastAsia="仿宋_GB2312" w:cs="DengXian-Regular" w:hint="eastAsia"/>
          <w:sz w:val="32"/>
          <w:szCs w:val="32"/>
        </w:rPr>
        <w:t>8</w:t>
      </w:r>
      <w:r>
        <w:rPr>
          <w:rFonts w:ascii="仿宋_GB2312" w:eastAsia="仿宋_GB2312" w:cs="DengXian-Regular"/>
          <w:sz w:val="32"/>
          <w:szCs w:val="32"/>
        </w:rPr>
        <w:t>5.99</w:t>
      </w:r>
      <w:r>
        <w:rPr>
          <w:rFonts w:ascii="仿宋_GB2312" w:eastAsia="仿宋_GB2312" w:cs="DengXian-Regular" w:hint="eastAsia"/>
          <w:sz w:val="32"/>
          <w:szCs w:val="32"/>
        </w:rPr>
        <w:t>万元，年初预算数为</w:t>
      </w:r>
      <w:r>
        <w:rPr>
          <w:rFonts w:ascii="仿宋_GB2312" w:eastAsia="仿宋_GB2312" w:cs="DengXian-Regular"/>
          <w:sz w:val="32"/>
          <w:szCs w:val="32"/>
        </w:rPr>
        <w:t>2601.13</w:t>
      </w:r>
      <w:r>
        <w:rPr>
          <w:rFonts w:ascii="仿宋_GB2312" w:eastAsia="仿宋_GB2312" w:cs="DengXian-Regular" w:hint="eastAsia"/>
          <w:sz w:val="32"/>
          <w:szCs w:val="32"/>
        </w:rPr>
        <w:t>万元，预算收入调整率为</w:t>
      </w:r>
      <w:r>
        <w:rPr>
          <w:rFonts w:ascii="仿宋_GB2312" w:eastAsia="仿宋_GB2312" w:cs="DengXian-Regular"/>
          <w:sz w:val="32"/>
          <w:szCs w:val="32"/>
        </w:rPr>
        <w:t>96.7</w:t>
      </w:r>
      <w:r>
        <w:rPr>
          <w:rFonts w:ascii="仿宋_GB2312" w:eastAsia="仿宋_GB2312" w:cs="DengXian-Regular" w:hint="eastAsia"/>
          <w:sz w:val="32"/>
          <w:szCs w:val="32"/>
        </w:rPr>
        <w:t>%</w:t>
      </w:r>
      <w:r>
        <w:rPr>
          <w:rFonts w:ascii="仿宋_GB2312" w:eastAsia="仿宋_GB2312" w:cs="DengXian-Regular" w:hint="eastAsia"/>
          <w:sz w:val="32"/>
          <w:szCs w:val="32"/>
        </w:rPr>
        <w:t>，预算调整增加了</w:t>
      </w:r>
      <w:r>
        <w:rPr>
          <w:rFonts w:ascii="仿宋_GB2312" w:eastAsia="仿宋_GB2312" w:cs="DengXian-Regular"/>
          <w:sz w:val="32"/>
          <w:szCs w:val="32"/>
        </w:rPr>
        <w:t>3.3</w:t>
      </w:r>
      <w:r>
        <w:rPr>
          <w:rFonts w:ascii="仿宋_GB2312" w:eastAsia="仿宋_GB2312" w:cs="DengXian-Regular" w:hint="eastAsia"/>
          <w:sz w:val="32"/>
          <w:szCs w:val="32"/>
        </w:rPr>
        <w:t>个百分点，扣</w:t>
      </w:r>
      <w:r>
        <w:rPr>
          <w:rFonts w:ascii="仿宋_GB2312" w:eastAsia="仿宋_GB2312" w:cs="DengXian-Regular"/>
          <w:sz w:val="32"/>
          <w:szCs w:val="32"/>
        </w:rPr>
        <w:t>3</w:t>
      </w:r>
      <w:r>
        <w:rPr>
          <w:rFonts w:ascii="仿宋_GB2312" w:eastAsia="仿宋_GB2312" w:cs="DengXian-Regular" w:hint="eastAsia"/>
          <w:sz w:val="32"/>
          <w:szCs w:val="32"/>
        </w:rPr>
        <w:t>.33*0.1*2=0.66</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1.34</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2</w:t>
      </w:r>
      <w:r>
        <w:rPr>
          <w:rFonts w:ascii="仿宋_GB2312" w:eastAsia="仿宋_GB2312" w:cs="DengXian-Regular" w:hint="eastAsia"/>
          <w:sz w:val="32"/>
          <w:szCs w:val="32"/>
        </w:rPr>
        <w:t>）收入完成率（</w:t>
      </w:r>
      <w:r>
        <w:rPr>
          <w:rFonts w:ascii="仿宋_GB2312" w:eastAsia="仿宋_GB2312" w:cs="DengXian-Regular" w:hint="eastAsia"/>
          <w:sz w:val="32"/>
          <w:szCs w:val="32"/>
        </w:rPr>
        <w:t>4</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该指标主要评价部门预算收入的完成情况，用以反映部门预算收入的完成程度，通过收入完成率衡量。</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收入完成率</w:t>
      </w:r>
      <w:r>
        <w:rPr>
          <w:rFonts w:ascii="仿宋_GB2312" w:eastAsia="仿宋_GB2312" w:cs="DengXian-Regular" w:hint="eastAsia"/>
          <w:sz w:val="32"/>
          <w:szCs w:val="32"/>
        </w:rPr>
        <w:t>=</w:t>
      </w:r>
      <w:r>
        <w:rPr>
          <w:rFonts w:ascii="仿宋_GB2312" w:eastAsia="仿宋_GB2312" w:cs="DengXian-Regular" w:hint="eastAsia"/>
          <w:sz w:val="32"/>
          <w:szCs w:val="32"/>
        </w:rPr>
        <w:t>（决算收入</w:t>
      </w:r>
      <w:r>
        <w:rPr>
          <w:rFonts w:ascii="仿宋_GB2312" w:eastAsia="仿宋_GB2312" w:cs="DengXian-Regular" w:hint="eastAsia"/>
          <w:sz w:val="32"/>
          <w:szCs w:val="32"/>
        </w:rPr>
        <w:t>/</w:t>
      </w:r>
      <w:r>
        <w:rPr>
          <w:rFonts w:ascii="仿宋_GB2312" w:eastAsia="仿宋_GB2312" w:cs="DengXian-Regular" w:hint="eastAsia"/>
          <w:sz w:val="32"/>
          <w:szCs w:val="32"/>
        </w:rPr>
        <w:t>预算收入）×</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根据我单位</w:t>
      </w:r>
      <w:r>
        <w:rPr>
          <w:rFonts w:ascii="仿宋_GB2312" w:eastAsia="仿宋_GB2312" w:cs="DengXian-Regular" w:hint="eastAsia"/>
          <w:sz w:val="32"/>
          <w:szCs w:val="32"/>
        </w:rPr>
        <w:t>2019</w:t>
      </w:r>
      <w:r>
        <w:rPr>
          <w:rFonts w:ascii="仿宋_GB2312" w:eastAsia="仿宋_GB2312" w:cs="DengXian-Regular" w:hint="eastAsia"/>
          <w:sz w:val="32"/>
          <w:szCs w:val="32"/>
        </w:rPr>
        <w:t>年预算文本、决算文本，</w:t>
      </w:r>
      <w:r>
        <w:rPr>
          <w:rFonts w:ascii="仿宋_GB2312" w:eastAsia="仿宋_GB2312" w:cs="DengXian-Regular" w:hint="eastAsia"/>
          <w:sz w:val="32"/>
          <w:szCs w:val="32"/>
        </w:rPr>
        <w:t>2019</w:t>
      </w:r>
      <w:r>
        <w:rPr>
          <w:rFonts w:ascii="仿宋_GB2312" w:eastAsia="仿宋_GB2312" w:cs="DengXian-Regular" w:hint="eastAsia"/>
          <w:sz w:val="32"/>
          <w:szCs w:val="32"/>
        </w:rPr>
        <w:t>年收入预算数</w:t>
      </w:r>
      <w:r>
        <w:rPr>
          <w:rFonts w:ascii="仿宋_GB2312" w:eastAsia="仿宋_GB2312" w:cs="DengXian-Regular"/>
          <w:sz w:val="32"/>
          <w:szCs w:val="32"/>
        </w:rPr>
        <w:t>2601.13</w:t>
      </w:r>
      <w:r>
        <w:rPr>
          <w:rFonts w:ascii="仿宋_GB2312" w:eastAsia="仿宋_GB2312" w:cs="DengXian-Regular" w:hint="eastAsia"/>
          <w:sz w:val="32"/>
          <w:szCs w:val="32"/>
        </w:rPr>
        <w:t>万元，收入决算数</w:t>
      </w:r>
      <w:r>
        <w:rPr>
          <w:rFonts w:ascii="仿宋_GB2312" w:eastAsia="仿宋_GB2312" w:cs="DengXian-Regular"/>
          <w:sz w:val="32"/>
          <w:szCs w:val="32"/>
        </w:rPr>
        <w:t>2441.7</w:t>
      </w:r>
      <w:r>
        <w:rPr>
          <w:rFonts w:ascii="仿宋_GB2312" w:eastAsia="仿宋_GB2312" w:cs="DengXian-Regular" w:hint="eastAsia"/>
          <w:sz w:val="32"/>
          <w:szCs w:val="32"/>
        </w:rPr>
        <w:t>万元，收入完成率</w:t>
      </w:r>
      <w:r>
        <w:rPr>
          <w:rFonts w:ascii="仿宋_GB2312" w:eastAsia="仿宋_GB2312" w:cs="DengXian-Regular" w:hint="eastAsia"/>
          <w:sz w:val="32"/>
          <w:szCs w:val="32"/>
        </w:rPr>
        <w:t>=</w:t>
      </w:r>
      <w:r>
        <w:rPr>
          <w:rFonts w:ascii="仿宋_GB2312" w:eastAsia="仿宋_GB2312" w:cs="DengXian-Regular" w:hint="eastAsia"/>
          <w:sz w:val="32"/>
          <w:szCs w:val="32"/>
        </w:rPr>
        <w:t>（决算数</w:t>
      </w:r>
      <w:r>
        <w:rPr>
          <w:rFonts w:ascii="仿宋_GB2312" w:eastAsia="仿宋_GB2312" w:cs="DengXian-Regular" w:hint="eastAsia"/>
          <w:sz w:val="32"/>
          <w:szCs w:val="32"/>
        </w:rPr>
        <w:t>/</w:t>
      </w:r>
      <w:r>
        <w:rPr>
          <w:rFonts w:ascii="仿宋_GB2312" w:eastAsia="仿宋_GB2312" w:cs="DengXian-Regular" w:hint="eastAsia"/>
          <w:sz w:val="32"/>
          <w:szCs w:val="32"/>
        </w:rPr>
        <w:t>预算数）</w:t>
      </w:r>
      <w:r>
        <w:rPr>
          <w:rFonts w:ascii="仿宋_GB2312" w:eastAsia="仿宋_GB2312" w:cs="DengXian-Regular" w:hint="eastAsia"/>
          <w:sz w:val="32"/>
          <w:szCs w:val="32"/>
        </w:rPr>
        <w:t>*100%=</w:t>
      </w:r>
      <w:r>
        <w:rPr>
          <w:rFonts w:ascii="仿宋_GB2312" w:eastAsia="仿宋_GB2312" w:cs="DengXian-Regular"/>
          <w:sz w:val="32"/>
          <w:szCs w:val="32"/>
        </w:rPr>
        <w:t>93.87</w:t>
      </w:r>
      <w:r>
        <w:rPr>
          <w:rFonts w:ascii="仿宋_GB2312" w:eastAsia="仿宋_GB2312" w:cs="DengXian-Regular" w:hint="eastAsia"/>
          <w:sz w:val="32"/>
          <w:szCs w:val="32"/>
        </w:rPr>
        <w:t>%</w:t>
      </w:r>
      <w:r>
        <w:rPr>
          <w:rFonts w:ascii="仿宋_GB2312" w:eastAsia="仿宋_GB2312" w:cs="DengXian-Regular" w:hint="eastAsia"/>
          <w:sz w:val="32"/>
          <w:szCs w:val="32"/>
        </w:rPr>
        <w:t>。</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1.55</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3</w:t>
      </w:r>
      <w:r>
        <w:rPr>
          <w:rFonts w:ascii="仿宋_GB2312" w:eastAsia="仿宋_GB2312" w:cs="DengXian-Regular" w:hint="eastAsia"/>
          <w:sz w:val="32"/>
          <w:szCs w:val="32"/>
        </w:rPr>
        <w:t>）预算支出调整率（</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该指标主要评价预算支出的调整情况，进而衡量预算支出编制的准确性，通过预算支出调整率衡量。</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预算支出调整率</w:t>
      </w:r>
      <w:r>
        <w:rPr>
          <w:rFonts w:ascii="仿宋_GB2312" w:eastAsia="仿宋_GB2312" w:cs="DengXian-Regular" w:hint="eastAsia"/>
          <w:sz w:val="32"/>
          <w:szCs w:val="32"/>
        </w:rPr>
        <w:t>=</w:t>
      </w:r>
      <w:r>
        <w:rPr>
          <w:rFonts w:ascii="仿宋_GB2312" w:eastAsia="仿宋_GB2312" w:cs="DengXian-Regular" w:hint="eastAsia"/>
          <w:sz w:val="32"/>
          <w:szCs w:val="32"/>
        </w:rPr>
        <w:t>（调整预算数</w:t>
      </w:r>
      <w:r>
        <w:rPr>
          <w:rFonts w:ascii="仿宋_GB2312" w:eastAsia="仿宋_GB2312" w:cs="DengXian-Regular" w:hint="eastAsia"/>
          <w:sz w:val="32"/>
          <w:szCs w:val="32"/>
        </w:rPr>
        <w:t>-</w:t>
      </w:r>
      <w:r>
        <w:rPr>
          <w:rFonts w:ascii="仿宋_GB2312" w:eastAsia="仿宋_GB2312" w:cs="DengXian-Regular" w:hint="eastAsia"/>
          <w:sz w:val="32"/>
          <w:szCs w:val="32"/>
        </w:rPr>
        <w:t>年初预算数）</w:t>
      </w:r>
      <w:r>
        <w:rPr>
          <w:rFonts w:ascii="仿宋_GB2312" w:eastAsia="仿宋_GB2312" w:cs="DengXian-Regular" w:hint="eastAsia"/>
          <w:sz w:val="32"/>
          <w:szCs w:val="32"/>
        </w:rPr>
        <w:t>/</w:t>
      </w:r>
      <w:r>
        <w:rPr>
          <w:rFonts w:ascii="仿宋_GB2312" w:eastAsia="仿宋_GB2312" w:cs="DengXian-Regular" w:hint="eastAsia"/>
          <w:sz w:val="32"/>
          <w:szCs w:val="32"/>
        </w:rPr>
        <w:t>年初预算数</w:t>
      </w:r>
      <w:r>
        <w:rPr>
          <w:rFonts w:ascii="仿宋_GB2312" w:eastAsia="仿宋_GB2312" w:cs="DengXian-Regular" w:hint="eastAsia"/>
          <w:sz w:val="32"/>
          <w:szCs w:val="32"/>
        </w:rPr>
        <w:t>*100%</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Pr>
          <w:rFonts w:ascii="仿宋_GB2312" w:eastAsia="仿宋_GB2312" w:cs="DengXian-Regular" w:hint="eastAsia"/>
          <w:sz w:val="32"/>
          <w:szCs w:val="32"/>
        </w:rPr>
        <w:t>区法院</w:t>
      </w:r>
      <w:r>
        <w:rPr>
          <w:rFonts w:ascii="仿宋_GB2312" w:eastAsia="仿宋_GB2312" w:cs="DengXian-Regular" w:hint="eastAsia"/>
          <w:sz w:val="32"/>
          <w:szCs w:val="32"/>
        </w:rPr>
        <w:t>提供的保定市财政局下发的预算指标文件，其中：保财</w:t>
      </w:r>
      <w:r>
        <w:rPr>
          <w:rFonts w:ascii="仿宋_GB2312" w:eastAsia="仿宋_GB2312" w:cs="DengXian-Regular"/>
          <w:sz w:val="32"/>
          <w:szCs w:val="32"/>
        </w:rPr>
        <w:t>行</w:t>
      </w:r>
      <w:r>
        <w:rPr>
          <w:rFonts w:ascii="仿宋_GB2312" w:eastAsia="仿宋_GB2312" w:cs="DengXian-Regular" w:hint="eastAsia"/>
          <w:sz w:val="32"/>
          <w:szCs w:val="32"/>
        </w:rPr>
        <w:t>[201</w:t>
      </w:r>
      <w:r>
        <w:rPr>
          <w:rFonts w:ascii="仿宋_GB2312" w:eastAsia="仿宋_GB2312" w:cs="DengXian-Regular"/>
          <w:sz w:val="32"/>
          <w:szCs w:val="32"/>
        </w:rPr>
        <w:t>8</w:t>
      </w:r>
      <w:r>
        <w:rPr>
          <w:rFonts w:ascii="仿宋_GB2312" w:eastAsia="仿宋_GB2312" w:cs="DengXian-Regular" w:hint="eastAsia"/>
          <w:sz w:val="32"/>
          <w:szCs w:val="32"/>
        </w:rPr>
        <w:t>]</w:t>
      </w:r>
      <w:r>
        <w:rPr>
          <w:rFonts w:ascii="仿宋_GB2312" w:eastAsia="仿宋_GB2312" w:cs="DengXian-Regular"/>
          <w:sz w:val="32"/>
          <w:szCs w:val="32"/>
        </w:rPr>
        <w:t>31</w:t>
      </w:r>
      <w:r>
        <w:rPr>
          <w:rFonts w:ascii="仿宋_GB2312" w:eastAsia="仿宋_GB2312" w:cs="DengXian-Regular" w:hint="eastAsia"/>
          <w:sz w:val="32"/>
          <w:szCs w:val="32"/>
        </w:rPr>
        <w:t>号追加</w:t>
      </w:r>
      <w:r>
        <w:rPr>
          <w:rFonts w:ascii="仿宋_GB2312" w:eastAsia="仿宋_GB2312" w:cs="DengXian-Regular" w:hint="eastAsia"/>
          <w:sz w:val="32"/>
          <w:szCs w:val="32"/>
        </w:rPr>
        <w:t>2018</w:t>
      </w:r>
      <w:r>
        <w:rPr>
          <w:rFonts w:ascii="仿宋_GB2312" w:eastAsia="仿宋_GB2312" w:cs="DengXian-Regular" w:hint="eastAsia"/>
          <w:sz w:val="32"/>
          <w:szCs w:val="32"/>
        </w:rPr>
        <w:t>年法院建设</w:t>
      </w:r>
      <w:r>
        <w:rPr>
          <w:rFonts w:ascii="仿宋_GB2312" w:eastAsia="仿宋_GB2312" w:cs="DengXian-Regular"/>
          <w:sz w:val="32"/>
          <w:szCs w:val="32"/>
        </w:rPr>
        <w:t>补助经费</w:t>
      </w:r>
      <w:r>
        <w:rPr>
          <w:rFonts w:ascii="仿宋_GB2312" w:eastAsia="仿宋_GB2312" w:cs="DengXian-Regular"/>
          <w:sz w:val="32"/>
          <w:szCs w:val="32"/>
        </w:rPr>
        <w:t>20</w:t>
      </w:r>
      <w:r>
        <w:rPr>
          <w:rFonts w:ascii="仿宋_GB2312" w:eastAsia="仿宋_GB2312" w:cs="DengXian-Regular" w:hint="eastAsia"/>
          <w:sz w:val="32"/>
          <w:szCs w:val="32"/>
        </w:rPr>
        <w:t>万元；</w:t>
      </w:r>
      <w:proofErr w:type="gramStart"/>
      <w:r>
        <w:rPr>
          <w:rFonts w:ascii="仿宋_GB2312" w:eastAsia="仿宋_GB2312" w:cs="DengXian-Regular" w:hint="eastAsia"/>
          <w:sz w:val="32"/>
          <w:szCs w:val="32"/>
        </w:rPr>
        <w:t>徐财预指</w:t>
      </w:r>
      <w:proofErr w:type="gramEnd"/>
      <w:r>
        <w:rPr>
          <w:rFonts w:ascii="仿宋_GB2312" w:eastAsia="仿宋_GB2312" w:cs="DengXian-Regular" w:hint="eastAsia"/>
          <w:sz w:val="32"/>
          <w:szCs w:val="32"/>
        </w:rPr>
        <w:t>[2019]</w:t>
      </w:r>
      <w:r>
        <w:rPr>
          <w:rFonts w:ascii="仿宋_GB2312" w:eastAsia="仿宋_GB2312" w:cs="DengXian-Regular"/>
          <w:sz w:val="32"/>
          <w:szCs w:val="32"/>
        </w:rPr>
        <w:t>1-1373</w:t>
      </w:r>
      <w:r>
        <w:rPr>
          <w:rFonts w:ascii="仿宋_GB2312" w:eastAsia="仿宋_GB2312" w:cs="DengXian-Regular" w:hint="eastAsia"/>
          <w:sz w:val="32"/>
          <w:szCs w:val="32"/>
        </w:rPr>
        <w:t>号追加机要通讯</w:t>
      </w:r>
      <w:r>
        <w:rPr>
          <w:rFonts w:ascii="仿宋_GB2312" w:eastAsia="仿宋_GB2312" w:cs="DengXian-Regular"/>
          <w:sz w:val="32"/>
          <w:szCs w:val="32"/>
        </w:rPr>
        <w:t>用车购置资金</w:t>
      </w:r>
      <w:r>
        <w:rPr>
          <w:rFonts w:ascii="仿宋_GB2312" w:eastAsia="仿宋_GB2312" w:cs="DengXian-Regular" w:hint="eastAsia"/>
          <w:sz w:val="32"/>
          <w:szCs w:val="32"/>
        </w:rPr>
        <w:t>合计</w:t>
      </w:r>
      <w:r>
        <w:rPr>
          <w:rFonts w:ascii="仿宋_GB2312" w:eastAsia="仿宋_GB2312" w:cs="DengXian-Regular"/>
          <w:sz w:val="32"/>
          <w:szCs w:val="32"/>
        </w:rPr>
        <w:t>11.99</w:t>
      </w:r>
      <w:r>
        <w:rPr>
          <w:rFonts w:ascii="仿宋_GB2312" w:eastAsia="仿宋_GB2312" w:cs="DengXian-Regular" w:hint="eastAsia"/>
          <w:sz w:val="32"/>
          <w:szCs w:val="32"/>
        </w:rPr>
        <w:t>万元；保财行</w:t>
      </w:r>
      <w:r>
        <w:rPr>
          <w:rFonts w:ascii="仿宋_GB2312" w:eastAsia="仿宋_GB2312" w:cs="DengXian-Regular" w:hint="eastAsia"/>
          <w:sz w:val="32"/>
          <w:szCs w:val="32"/>
        </w:rPr>
        <w:t>[2019]</w:t>
      </w:r>
      <w:r>
        <w:rPr>
          <w:rFonts w:ascii="仿宋_GB2312" w:eastAsia="仿宋_GB2312" w:cs="DengXian-Regular"/>
          <w:sz w:val="32"/>
          <w:szCs w:val="32"/>
        </w:rPr>
        <w:t>10</w:t>
      </w:r>
      <w:r>
        <w:rPr>
          <w:rFonts w:ascii="仿宋_GB2312" w:eastAsia="仿宋_GB2312" w:cs="DengXian-Regular" w:hint="eastAsia"/>
          <w:sz w:val="32"/>
          <w:szCs w:val="32"/>
        </w:rPr>
        <w:t>号追加</w:t>
      </w:r>
      <w:r>
        <w:rPr>
          <w:rFonts w:ascii="仿宋_GB2312" w:eastAsia="仿宋_GB2312" w:cs="DengXian-Regular" w:hint="eastAsia"/>
          <w:sz w:val="32"/>
          <w:szCs w:val="32"/>
        </w:rPr>
        <w:t>2019</w:t>
      </w:r>
      <w:r>
        <w:rPr>
          <w:rFonts w:ascii="仿宋_GB2312" w:eastAsia="仿宋_GB2312" w:cs="DengXian-Regular" w:hint="eastAsia"/>
          <w:sz w:val="32"/>
          <w:szCs w:val="32"/>
        </w:rPr>
        <w:t>年</w:t>
      </w:r>
      <w:r>
        <w:rPr>
          <w:rFonts w:ascii="仿宋_GB2312" w:eastAsia="仿宋_GB2312" w:cs="DengXian-Regular"/>
          <w:sz w:val="32"/>
          <w:szCs w:val="32"/>
        </w:rPr>
        <w:t>中央政法纪检监察转移支付资金</w:t>
      </w:r>
      <w:r>
        <w:rPr>
          <w:rFonts w:ascii="仿宋_GB2312" w:eastAsia="仿宋_GB2312" w:cs="DengXian-Regular" w:hint="eastAsia"/>
          <w:sz w:val="32"/>
          <w:szCs w:val="32"/>
        </w:rPr>
        <w:t>54</w:t>
      </w:r>
      <w:r>
        <w:rPr>
          <w:rFonts w:ascii="仿宋_GB2312" w:eastAsia="仿宋_GB2312" w:cs="DengXian-Regular" w:hint="eastAsia"/>
          <w:sz w:val="32"/>
          <w:szCs w:val="32"/>
        </w:rPr>
        <w:t>万元，年初预算数为</w:t>
      </w:r>
      <w:r>
        <w:rPr>
          <w:rFonts w:ascii="仿宋_GB2312" w:eastAsia="仿宋_GB2312" w:cs="DengXian-Regular"/>
          <w:sz w:val="32"/>
          <w:szCs w:val="32"/>
        </w:rPr>
        <w:t>2601.13</w:t>
      </w:r>
      <w:r>
        <w:rPr>
          <w:rFonts w:ascii="仿宋_GB2312" w:eastAsia="仿宋_GB2312" w:cs="DengXian-Regular" w:hint="eastAsia"/>
          <w:sz w:val="32"/>
          <w:szCs w:val="32"/>
        </w:rPr>
        <w:t>万元，预算支出调整率为</w:t>
      </w:r>
      <w:r>
        <w:rPr>
          <w:rFonts w:ascii="仿宋_GB2312" w:eastAsia="仿宋_GB2312" w:cs="DengXian-Regular"/>
          <w:sz w:val="32"/>
          <w:szCs w:val="32"/>
        </w:rPr>
        <w:t>96.7</w:t>
      </w:r>
      <w:r>
        <w:rPr>
          <w:rFonts w:ascii="仿宋_GB2312" w:eastAsia="仿宋_GB2312" w:cs="DengXian-Regular" w:hint="eastAsia"/>
          <w:sz w:val="32"/>
          <w:szCs w:val="32"/>
        </w:rPr>
        <w:t>%</w:t>
      </w:r>
      <w:r>
        <w:rPr>
          <w:rFonts w:ascii="仿宋_GB2312" w:eastAsia="仿宋_GB2312" w:cs="DengXian-Regular" w:hint="eastAsia"/>
          <w:sz w:val="32"/>
          <w:szCs w:val="32"/>
        </w:rPr>
        <w:t>，预算调整增加了</w:t>
      </w:r>
      <w:r>
        <w:rPr>
          <w:rFonts w:ascii="仿宋_GB2312" w:eastAsia="仿宋_GB2312" w:cs="DengXian-Regular"/>
          <w:sz w:val="32"/>
          <w:szCs w:val="32"/>
        </w:rPr>
        <w:t>3.3</w:t>
      </w:r>
      <w:r>
        <w:rPr>
          <w:rFonts w:ascii="仿宋_GB2312" w:eastAsia="仿宋_GB2312" w:cs="DengXian-Regular" w:hint="eastAsia"/>
          <w:sz w:val="32"/>
          <w:szCs w:val="32"/>
        </w:rPr>
        <w:t>个百分点，扣</w:t>
      </w:r>
      <w:r>
        <w:rPr>
          <w:rFonts w:ascii="仿宋_GB2312" w:eastAsia="仿宋_GB2312" w:cs="DengXian-Regular" w:hint="eastAsia"/>
          <w:sz w:val="32"/>
          <w:szCs w:val="32"/>
        </w:rPr>
        <w:t>0.66</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1.34</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4</w:t>
      </w:r>
      <w:r>
        <w:rPr>
          <w:rFonts w:ascii="仿宋_GB2312" w:eastAsia="仿宋_GB2312" w:cs="DengXian-Regular" w:hint="eastAsia"/>
          <w:sz w:val="32"/>
          <w:szCs w:val="32"/>
        </w:rPr>
        <w:t>）财政拨款支出完成率（</w:t>
      </w:r>
      <w:r>
        <w:rPr>
          <w:rFonts w:ascii="仿宋_GB2312" w:eastAsia="仿宋_GB2312" w:cs="DengXian-Regular" w:hint="eastAsia"/>
          <w:sz w:val="32"/>
          <w:szCs w:val="32"/>
        </w:rPr>
        <w:t>4</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该指标主要评价部门财政拨款的支出进度，通过财政拨款支出完成率来衡量。</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财政拨款支出完成率</w:t>
      </w:r>
      <w:r>
        <w:rPr>
          <w:rFonts w:ascii="仿宋_GB2312" w:eastAsia="仿宋_GB2312" w:cs="DengXian-Regular" w:hint="eastAsia"/>
          <w:sz w:val="32"/>
          <w:szCs w:val="32"/>
        </w:rPr>
        <w:t>=</w:t>
      </w:r>
      <w:r>
        <w:rPr>
          <w:rFonts w:ascii="仿宋_GB2312" w:eastAsia="仿宋_GB2312" w:cs="DengXian-Regular" w:hint="eastAsia"/>
          <w:sz w:val="32"/>
          <w:szCs w:val="32"/>
        </w:rPr>
        <w:t>（部门决算财政拨款支出</w:t>
      </w:r>
      <w:r>
        <w:rPr>
          <w:rFonts w:ascii="仿宋_GB2312" w:eastAsia="仿宋_GB2312" w:cs="DengXian-Regular" w:hint="eastAsia"/>
          <w:sz w:val="32"/>
          <w:szCs w:val="32"/>
        </w:rPr>
        <w:t>/</w:t>
      </w:r>
      <w:r>
        <w:rPr>
          <w:rFonts w:ascii="仿宋_GB2312" w:eastAsia="仿宋_GB2312" w:cs="DengXian-Regular" w:hint="eastAsia"/>
          <w:sz w:val="32"/>
          <w:szCs w:val="32"/>
        </w:rPr>
        <w:t>部门决算财政拨款收入）</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区法院</w:t>
      </w:r>
      <w:r>
        <w:rPr>
          <w:rFonts w:ascii="仿宋_GB2312" w:eastAsia="仿宋_GB2312" w:cs="DengXian-Regular" w:hint="eastAsia"/>
          <w:sz w:val="32"/>
          <w:szCs w:val="32"/>
        </w:rPr>
        <w:t>提供的</w:t>
      </w:r>
      <w:r>
        <w:rPr>
          <w:rFonts w:ascii="仿宋_GB2312" w:eastAsia="仿宋_GB2312" w:cs="DengXian-Regular" w:hint="eastAsia"/>
          <w:sz w:val="32"/>
          <w:szCs w:val="32"/>
        </w:rPr>
        <w:t>2019</w:t>
      </w:r>
      <w:r>
        <w:rPr>
          <w:rFonts w:ascii="仿宋_GB2312" w:eastAsia="仿宋_GB2312" w:cs="DengXian-Regular" w:hint="eastAsia"/>
          <w:sz w:val="32"/>
          <w:szCs w:val="32"/>
        </w:rPr>
        <w:t>年决算文本，部门决算财政拨款支出数</w:t>
      </w:r>
      <w:r>
        <w:rPr>
          <w:rFonts w:ascii="仿宋_GB2312" w:eastAsia="仿宋_GB2312" w:cs="DengXian-Regular"/>
          <w:sz w:val="32"/>
          <w:szCs w:val="32"/>
        </w:rPr>
        <w:t>2451.4</w:t>
      </w:r>
      <w:r>
        <w:rPr>
          <w:rFonts w:ascii="仿宋_GB2312" w:eastAsia="仿宋_GB2312" w:cs="DengXian-Regular" w:hint="eastAsia"/>
          <w:sz w:val="32"/>
          <w:szCs w:val="32"/>
        </w:rPr>
        <w:t>万元，财政拨款收入数</w:t>
      </w:r>
      <w:r>
        <w:rPr>
          <w:rFonts w:ascii="仿宋_GB2312" w:eastAsia="仿宋_GB2312" w:cs="DengXian-Regular"/>
          <w:sz w:val="32"/>
          <w:szCs w:val="32"/>
        </w:rPr>
        <w:t>2441.96</w:t>
      </w:r>
      <w:r>
        <w:rPr>
          <w:rFonts w:ascii="仿宋_GB2312" w:eastAsia="仿宋_GB2312" w:cs="DengXian-Regular" w:hint="eastAsia"/>
          <w:sz w:val="32"/>
          <w:szCs w:val="32"/>
        </w:rPr>
        <w:t>万元，财政拨款支出率</w:t>
      </w:r>
      <w:r>
        <w:rPr>
          <w:rFonts w:ascii="仿宋_GB2312" w:eastAsia="仿宋_GB2312" w:cs="DengXian-Regular" w:hint="eastAsia"/>
          <w:sz w:val="32"/>
          <w:szCs w:val="32"/>
        </w:rPr>
        <w:t>=</w:t>
      </w:r>
      <w:r>
        <w:rPr>
          <w:rFonts w:ascii="仿宋_GB2312" w:eastAsia="仿宋_GB2312" w:cs="DengXian-Regular" w:hint="eastAsia"/>
          <w:sz w:val="32"/>
          <w:szCs w:val="32"/>
        </w:rPr>
        <w:t>（财政拨款支出数</w:t>
      </w:r>
      <w:r>
        <w:rPr>
          <w:rFonts w:ascii="仿宋_GB2312" w:eastAsia="仿宋_GB2312" w:cs="DengXian-Regular" w:hint="eastAsia"/>
          <w:sz w:val="32"/>
          <w:szCs w:val="32"/>
        </w:rPr>
        <w:t>/</w:t>
      </w:r>
      <w:r>
        <w:rPr>
          <w:rFonts w:ascii="仿宋_GB2312" w:eastAsia="仿宋_GB2312" w:cs="DengXian-Regular" w:hint="eastAsia"/>
          <w:sz w:val="32"/>
          <w:szCs w:val="32"/>
        </w:rPr>
        <w:t>财政拨款收入数）</w:t>
      </w:r>
      <w:r>
        <w:rPr>
          <w:rFonts w:ascii="仿宋_GB2312" w:eastAsia="仿宋_GB2312" w:cs="DengXian-Regular" w:hint="eastAsia"/>
          <w:sz w:val="32"/>
          <w:szCs w:val="32"/>
        </w:rPr>
        <w:t>*100%=</w:t>
      </w:r>
      <w:r>
        <w:rPr>
          <w:rFonts w:ascii="仿宋_GB2312" w:eastAsia="仿宋_GB2312" w:cs="DengXian-Regular"/>
          <w:sz w:val="32"/>
          <w:szCs w:val="32"/>
        </w:rPr>
        <w:t>100</w:t>
      </w:r>
      <w:r>
        <w:rPr>
          <w:rFonts w:ascii="仿宋_GB2312" w:eastAsia="仿宋_GB2312" w:cs="DengXian-Regular" w:hint="eastAsia"/>
          <w:sz w:val="32"/>
          <w:szCs w:val="32"/>
        </w:rPr>
        <w:t>%</w:t>
      </w:r>
      <w:r>
        <w:rPr>
          <w:rFonts w:ascii="Arial" w:eastAsia="仿宋_GB2312" w:hAnsi="Arial" w:cs="Arial"/>
          <w:sz w:val="32"/>
          <w:szCs w:val="32"/>
        </w:rPr>
        <w:t>≥</w:t>
      </w:r>
      <w:r>
        <w:rPr>
          <w:rFonts w:ascii="仿宋_GB2312" w:eastAsia="仿宋_GB2312" w:cs="DengXian-Regular" w:hint="eastAsia"/>
          <w:sz w:val="32"/>
          <w:szCs w:val="32"/>
        </w:rPr>
        <w:t>90%</w:t>
      </w:r>
      <w:r>
        <w:rPr>
          <w:rFonts w:ascii="仿宋_GB2312" w:eastAsia="仿宋_GB2312" w:cs="DengXian-Regular" w:hint="eastAsia"/>
          <w:sz w:val="32"/>
          <w:szCs w:val="32"/>
        </w:rPr>
        <w:t>。我单位</w:t>
      </w:r>
      <w:r>
        <w:rPr>
          <w:rFonts w:ascii="仿宋_GB2312" w:eastAsia="仿宋_GB2312" w:cs="DengXian-Regular" w:hint="eastAsia"/>
          <w:sz w:val="32"/>
          <w:szCs w:val="32"/>
        </w:rPr>
        <w:t>2019</w:t>
      </w:r>
      <w:r>
        <w:rPr>
          <w:rFonts w:ascii="仿宋_GB2312" w:eastAsia="仿宋_GB2312" w:cs="DengXian-Regular" w:hint="eastAsia"/>
          <w:sz w:val="32"/>
          <w:szCs w:val="32"/>
        </w:rPr>
        <w:t>年年初结转和结余</w:t>
      </w:r>
      <w:r>
        <w:rPr>
          <w:rFonts w:ascii="仿宋_GB2312" w:eastAsia="仿宋_GB2312" w:cs="DengXian-Regular"/>
          <w:sz w:val="32"/>
          <w:szCs w:val="32"/>
        </w:rPr>
        <w:t>180.5</w:t>
      </w:r>
      <w:r>
        <w:rPr>
          <w:rFonts w:ascii="仿宋_GB2312" w:eastAsia="仿宋_GB2312" w:cs="DengXian-Regular" w:hint="eastAsia"/>
          <w:sz w:val="32"/>
          <w:szCs w:val="32"/>
        </w:rPr>
        <w:t>万元，故支出数大于收入数。</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5</w:t>
      </w:r>
      <w:r>
        <w:rPr>
          <w:rFonts w:ascii="仿宋_GB2312" w:eastAsia="仿宋_GB2312" w:cs="DengXian-Regular" w:hint="eastAsia"/>
          <w:sz w:val="32"/>
          <w:szCs w:val="32"/>
        </w:rPr>
        <w:t>）“三公”经费控制率（</w:t>
      </w:r>
      <w:r>
        <w:rPr>
          <w:rFonts w:ascii="仿宋_GB2312" w:eastAsia="仿宋_GB2312" w:cs="DengXian-Regular" w:hint="eastAsia"/>
          <w:sz w:val="32"/>
          <w:szCs w:val="32"/>
        </w:rPr>
        <w:t>3</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该指标主要评价“三公”经费是否得到有效控制，通过“三公”经费控制率来衡量。</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“三公”经费控制率</w:t>
      </w:r>
      <w:r>
        <w:rPr>
          <w:rFonts w:ascii="仿宋_GB2312" w:eastAsia="仿宋_GB2312" w:cs="DengXian-Regular" w:hint="eastAsia"/>
          <w:sz w:val="32"/>
          <w:szCs w:val="32"/>
        </w:rPr>
        <w:t>=</w:t>
      </w:r>
      <w:r>
        <w:rPr>
          <w:rFonts w:ascii="仿宋_GB2312" w:eastAsia="仿宋_GB2312" w:cs="DengXian-Regular" w:hint="eastAsia"/>
          <w:sz w:val="32"/>
          <w:szCs w:val="32"/>
        </w:rPr>
        <w:t>（实际支出数</w:t>
      </w:r>
      <w:r>
        <w:rPr>
          <w:rFonts w:ascii="仿宋_GB2312" w:eastAsia="仿宋_GB2312" w:cs="DengXian-Regular" w:hint="eastAsia"/>
          <w:sz w:val="32"/>
          <w:szCs w:val="32"/>
        </w:rPr>
        <w:t>/</w:t>
      </w:r>
      <w:r>
        <w:rPr>
          <w:rFonts w:ascii="仿宋_GB2312" w:eastAsia="仿宋_GB2312" w:cs="DengXian-Regular" w:hint="eastAsia"/>
          <w:sz w:val="32"/>
          <w:szCs w:val="32"/>
        </w:rPr>
        <w:t>预算数）</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Pr>
          <w:rFonts w:ascii="仿宋_GB2312" w:eastAsia="仿宋_GB2312" w:cs="DengXian-Regular" w:hint="eastAsia"/>
          <w:sz w:val="32"/>
          <w:szCs w:val="32"/>
        </w:rPr>
        <w:t>区法院</w:t>
      </w:r>
      <w:r>
        <w:rPr>
          <w:rFonts w:ascii="仿宋_GB2312" w:eastAsia="仿宋_GB2312" w:cs="DengXian-Regular" w:hint="eastAsia"/>
          <w:sz w:val="32"/>
          <w:szCs w:val="32"/>
        </w:rPr>
        <w:t>2019</w:t>
      </w:r>
      <w:r>
        <w:rPr>
          <w:rFonts w:ascii="仿宋_GB2312" w:eastAsia="仿宋_GB2312" w:cs="DengXian-Regular" w:hint="eastAsia"/>
          <w:sz w:val="32"/>
          <w:szCs w:val="32"/>
        </w:rPr>
        <w:t>年预算文本及决算文本，“三公”经费年初预算数</w:t>
      </w:r>
      <w:r>
        <w:rPr>
          <w:rFonts w:ascii="仿宋_GB2312" w:eastAsia="仿宋_GB2312" w:cs="DengXian-Regular"/>
          <w:sz w:val="32"/>
          <w:szCs w:val="32"/>
        </w:rPr>
        <w:t>46.1</w:t>
      </w:r>
      <w:r>
        <w:rPr>
          <w:rFonts w:ascii="仿宋_GB2312" w:eastAsia="仿宋_GB2312" w:cs="DengXian-Regular" w:hint="eastAsia"/>
          <w:sz w:val="32"/>
          <w:szCs w:val="32"/>
        </w:rPr>
        <w:t>万元，年</w:t>
      </w:r>
      <w:proofErr w:type="gramStart"/>
      <w:r>
        <w:rPr>
          <w:rFonts w:ascii="仿宋_GB2312" w:eastAsia="仿宋_GB2312" w:cs="DengXian-Regular" w:hint="eastAsia"/>
          <w:sz w:val="32"/>
          <w:szCs w:val="32"/>
        </w:rPr>
        <w:t>末决</w:t>
      </w:r>
      <w:proofErr w:type="gramEnd"/>
      <w:r>
        <w:rPr>
          <w:rFonts w:ascii="仿宋_GB2312" w:eastAsia="仿宋_GB2312" w:cs="DengXian-Regular" w:hint="eastAsia"/>
          <w:sz w:val="32"/>
          <w:szCs w:val="32"/>
        </w:rPr>
        <w:t>算数</w:t>
      </w:r>
      <w:r>
        <w:rPr>
          <w:rFonts w:ascii="仿宋_GB2312" w:eastAsia="仿宋_GB2312" w:cs="DengXian-Regular"/>
          <w:sz w:val="32"/>
          <w:szCs w:val="32"/>
        </w:rPr>
        <w:t>43.09</w:t>
      </w:r>
      <w:r>
        <w:rPr>
          <w:rFonts w:ascii="仿宋_GB2312" w:eastAsia="仿宋_GB2312" w:cs="DengXian-Regular" w:hint="eastAsia"/>
          <w:sz w:val="32"/>
          <w:szCs w:val="32"/>
        </w:rPr>
        <w:t>万元，“三公”经费控制率</w:t>
      </w:r>
      <w:r>
        <w:rPr>
          <w:rFonts w:ascii="仿宋_GB2312" w:eastAsia="仿宋_GB2312" w:cs="DengXian-Regular" w:hint="eastAsia"/>
          <w:sz w:val="32"/>
          <w:szCs w:val="32"/>
        </w:rPr>
        <w:t>=</w:t>
      </w:r>
      <w:r>
        <w:rPr>
          <w:rFonts w:ascii="仿宋_GB2312" w:eastAsia="仿宋_GB2312" w:cs="DengXian-Regular" w:hint="eastAsia"/>
          <w:sz w:val="32"/>
          <w:szCs w:val="32"/>
        </w:rPr>
        <w:t>（年</w:t>
      </w:r>
      <w:proofErr w:type="gramStart"/>
      <w:r>
        <w:rPr>
          <w:rFonts w:ascii="仿宋_GB2312" w:eastAsia="仿宋_GB2312" w:cs="DengXian-Regular" w:hint="eastAsia"/>
          <w:sz w:val="32"/>
          <w:szCs w:val="32"/>
        </w:rPr>
        <w:t>末决</w:t>
      </w:r>
      <w:proofErr w:type="gramEnd"/>
      <w:r>
        <w:rPr>
          <w:rFonts w:ascii="仿宋_GB2312" w:eastAsia="仿宋_GB2312" w:cs="DengXian-Regular" w:hint="eastAsia"/>
          <w:sz w:val="32"/>
          <w:szCs w:val="32"/>
        </w:rPr>
        <w:t>算数</w:t>
      </w:r>
      <w:r>
        <w:rPr>
          <w:rFonts w:ascii="仿宋_GB2312" w:eastAsia="仿宋_GB2312" w:cs="DengXian-Regular" w:hint="eastAsia"/>
          <w:sz w:val="32"/>
          <w:szCs w:val="32"/>
        </w:rPr>
        <w:t>/</w:t>
      </w:r>
      <w:r>
        <w:rPr>
          <w:rFonts w:ascii="仿宋_GB2312" w:eastAsia="仿宋_GB2312" w:cs="DengXian-Regular" w:hint="eastAsia"/>
          <w:sz w:val="32"/>
          <w:szCs w:val="32"/>
        </w:rPr>
        <w:t>年初预算数）</w:t>
      </w:r>
      <w:r>
        <w:rPr>
          <w:rFonts w:ascii="仿宋_GB2312" w:eastAsia="仿宋_GB2312" w:cs="DengXian-Regular" w:hint="eastAsia"/>
          <w:sz w:val="32"/>
          <w:szCs w:val="32"/>
        </w:rPr>
        <w:t>*100%=</w:t>
      </w:r>
      <w:r>
        <w:rPr>
          <w:rFonts w:ascii="仿宋_GB2312" w:eastAsia="仿宋_GB2312" w:cs="DengXian-Regular"/>
          <w:sz w:val="32"/>
          <w:szCs w:val="32"/>
        </w:rPr>
        <w:t>93</w:t>
      </w:r>
      <w:r>
        <w:rPr>
          <w:rFonts w:ascii="仿宋_GB2312" w:eastAsia="仿宋_GB2312" w:cs="DengXian-Regular" w:hint="eastAsia"/>
          <w:sz w:val="32"/>
          <w:szCs w:val="32"/>
        </w:rPr>
        <w:t>%</w:t>
      </w:r>
      <w:r>
        <w:rPr>
          <w:rFonts w:ascii="Arial" w:eastAsia="仿宋_GB2312" w:hAnsi="Arial" w:cs="Arial"/>
          <w:sz w:val="32"/>
          <w:szCs w:val="32"/>
        </w:rPr>
        <w:t>≤</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6</w:t>
      </w:r>
      <w:r>
        <w:rPr>
          <w:rFonts w:ascii="仿宋_GB2312" w:eastAsia="仿宋_GB2312" w:cs="DengXian-Regular" w:hint="eastAsia"/>
          <w:sz w:val="32"/>
          <w:szCs w:val="32"/>
        </w:rPr>
        <w:t>）政府采购执行率（</w:t>
      </w:r>
      <w:r>
        <w:rPr>
          <w:rFonts w:ascii="仿宋_GB2312" w:eastAsia="仿宋_GB2312" w:cs="DengXian-Regular" w:hint="eastAsia"/>
          <w:sz w:val="32"/>
          <w:szCs w:val="32"/>
        </w:rPr>
        <w:t>3</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该指标主要评价部门是否有效执行政府采购政策，通过政府采购执行率来衡量。</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政府采购执行率</w:t>
      </w:r>
      <w:r>
        <w:rPr>
          <w:rFonts w:ascii="仿宋_GB2312" w:eastAsia="仿宋_GB2312" w:cs="DengXian-Regular" w:hint="eastAsia"/>
          <w:sz w:val="32"/>
          <w:szCs w:val="32"/>
        </w:rPr>
        <w:t>=</w:t>
      </w:r>
      <w:r>
        <w:rPr>
          <w:rFonts w:ascii="仿宋_GB2312" w:eastAsia="仿宋_GB2312" w:cs="DengXian-Regular" w:hint="eastAsia"/>
          <w:sz w:val="32"/>
          <w:szCs w:val="32"/>
        </w:rPr>
        <w:t>（实际政府采购金额</w:t>
      </w:r>
      <w:r>
        <w:rPr>
          <w:rFonts w:ascii="仿宋_GB2312" w:eastAsia="仿宋_GB2312" w:cs="DengXian-Regular" w:hint="eastAsia"/>
          <w:sz w:val="32"/>
          <w:szCs w:val="32"/>
        </w:rPr>
        <w:t>/</w:t>
      </w:r>
      <w:r>
        <w:rPr>
          <w:rFonts w:ascii="仿宋_GB2312" w:eastAsia="仿宋_GB2312" w:cs="DengXian-Regular" w:hint="eastAsia"/>
          <w:sz w:val="32"/>
          <w:szCs w:val="32"/>
        </w:rPr>
        <w:t>政府采购预算金额）</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Pr>
          <w:rFonts w:ascii="仿宋_GB2312" w:eastAsia="仿宋_GB2312" w:cs="DengXian-Regular" w:hint="eastAsia"/>
          <w:sz w:val="32"/>
          <w:szCs w:val="32"/>
        </w:rPr>
        <w:t>区法院</w:t>
      </w:r>
      <w:r>
        <w:rPr>
          <w:rFonts w:ascii="仿宋_GB2312" w:eastAsia="仿宋_GB2312" w:cs="DengXian-Regular" w:hint="eastAsia"/>
          <w:sz w:val="32"/>
          <w:szCs w:val="32"/>
        </w:rPr>
        <w:t>2019</w:t>
      </w:r>
      <w:r>
        <w:rPr>
          <w:rFonts w:ascii="仿宋_GB2312" w:eastAsia="仿宋_GB2312" w:cs="DengXian-Regular" w:hint="eastAsia"/>
          <w:sz w:val="32"/>
          <w:szCs w:val="32"/>
        </w:rPr>
        <w:t>年预算文本及决算文本，政府采购年初预算数</w:t>
      </w:r>
      <w:r>
        <w:rPr>
          <w:rFonts w:ascii="仿宋_GB2312" w:eastAsia="仿宋_GB2312" w:cs="DengXian-Regular"/>
          <w:sz w:val="32"/>
          <w:szCs w:val="32"/>
        </w:rPr>
        <w:t>2</w:t>
      </w:r>
      <w:r>
        <w:rPr>
          <w:rFonts w:ascii="仿宋_GB2312" w:eastAsia="仿宋_GB2312" w:cs="DengXian-Regular" w:hint="eastAsia"/>
          <w:sz w:val="32"/>
          <w:szCs w:val="32"/>
        </w:rPr>
        <w:t>万元，年</w:t>
      </w:r>
      <w:proofErr w:type="gramStart"/>
      <w:r>
        <w:rPr>
          <w:rFonts w:ascii="仿宋_GB2312" w:eastAsia="仿宋_GB2312" w:cs="DengXian-Regular" w:hint="eastAsia"/>
          <w:sz w:val="32"/>
          <w:szCs w:val="32"/>
        </w:rPr>
        <w:t>末决</w:t>
      </w:r>
      <w:proofErr w:type="gramEnd"/>
      <w:r>
        <w:rPr>
          <w:rFonts w:ascii="仿宋_GB2312" w:eastAsia="仿宋_GB2312" w:cs="DengXian-Regular" w:hint="eastAsia"/>
          <w:sz w:val="32"/>
          <w:szCs w:val="32"/>
        </w:rPr>
        <w:t>算数</w:t>
      </w:r>
      <w:r>
        <w:rPr>
          <w:rFonts w:ascii="仿宋_GB2312" w:eastAsia="仿宋_GB2312" w:cs="DengXian-Regular"/>
          <w:sz w:val="32"/>
          <w:szCs w:val="32"/>
        </w:rPr>
        <w:t>16</w:t>
      </w:r>
      <w:r>
        <w:rPr>
          <w:rFonts w:ascii="仿宋_GB2312" w:eastAsia="仿宋_GB2312" w:cs="DengXian-Regular" w:hint="eastAsia"/>
          <w:sz w:val="32"/>
          <w:szCs w:val="32"/>
        </w:rPr>
        <w:t>万元，政府采购执行率为</w:t>
      </w:r>
      <w:r>
        <w:rPr>
          <w:rFonts w:ascii="仿宋_GB2312" w:eastAsia="仿宋_GB2312" w:cs="DengXian-Regular"/>
          <w:sz w:val="32"/>
          <w:szCs w:val="32"/>
        </w:rPr>
        <w:t>8</w:t>
      </w:r>
      <w:r>
        <w:rPr>
          <w:rFonts w:ascii="仿宋_GB2312" w:eastAsia="仿宋_GB2312" w:cs="DengXian-Regular" w:hint="eastAsia"/>
          <w:sz w:val="32"/>
          <w:szCs w:val="32"/>
        </w:rPr>
        <w:t>。</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该指标实际得分为</w:t>
      </w:r>
      <w:r>
        <w:rPr>
          <w:rFonts w:ascii="仿宋_GB2312" w:eastAsia="仿宋_GB2312" w:cs="DengXian-Regular"/>
          <w:sz w:val="32"/>
          <w:szCs w:val="32"/>
        </w:rPr>
        <w:t>3</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7</w:t>
      </w:r>
      <w:r>
        <w:rPr>
          <w:rFonts w:ascii="仿宋_GB2312" w:eastAsia="仿宋_GB2312" w:cs="DengXian-Regular" w:hint="eastAsia"/>
          <w:sz w:val="32"/>
          <w:szCs w:val="32"/>
        </w:rPr>
        <w:t>）资金使用合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性（</w:t>
      </w:r>
      <w:r>
        <w:rPr>
          <w:rFonts w:ascii="仿宋_GB2312" w:eastAsia="仿宋_GB2312" w:cs="DengXian-Regular" w:hint="eastAsia"/>
          <w:sz w:val="32"/>
          <w:szCs w:val="32"/>
        </w:rPr>
        <w:t>3</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该指标主要评价资金使用是否按照相关法律法规和资金管理办法规定的用途使用，财务管理是否符合相关会计准则和财务制度。</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Pr>
          <w:rFonts w:ascii="仿宋_GB2312" w:eastAsia="仿宋_GB2312" w:cs="DengXian-Regular" w:hint="eastAsia"/>
          <w:sz w:val="32"/>
          <w:szCs w:val="32"/>
        </w:rPr>
        <w:t>区法院</w:t>
      </w:r>
      <w:r>
        <w:rPr>
          <w:rFonts w:ascii="仿宋_GB2312" w:eastAsia="仿宋_GB2312" w:cs="DengXian-Regular" w:hint="eastAsia"/>
          <w:sz w:val="32"/>
          <w:szCs w:val="32"/>
        </w:rPr>
        <w:t>2019</w:t>
      </w:r>
      <w:r>
        <w:rPr>
          <w:rFonts w:ascii="仿宋_GB2312" w:eastAsia="仿宋_GB2312" w:cs="DengXian-Regular" w:hint="eastAsia"/>
          <w:sz w:val="32"/>
          <w:szCs w:val="32"/>
        </w:rPr>
        <w:t>年明细账、会计</w:t>
      </w:r>
      <w:r>
        <w:rPr>
          <w:rFonts w:ascii="仿宋_GB2312" w:eastAsia="仿宋_GB2312" w:cs="DengXian-Regular" w:hint="eastAsia"/>
          <w:sz w:val="32"/>
          <w:szCs w:val="32"/>
        </w:rPr>
        <w:t>凭证等相关资料，资金使用符合相关会计准则和财务制度，资金拨付有完备的</w:t>
      </w:r>
      <w:r>
        <w:rPr>
          <w:rFonts w:ascii="仿宋_GB2312" w:eastAsia="仿宋_GB2312" w:cs="DengXian-Regular" w:hint="eastAsia"/>
          <w:sz w:val="32"/>
          <w:szCs w:val="32"/>
        </w:rPr>
        <w:lastRenderedPageBreak/>
        <w:t>审批程序和手续，资金使用符合部门预算批复的用途，未发现截留、挤占、挪用财政资金的情况。</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8</w:t>
      </w:r>
      <w:r>
        <w:rPr>
          <w:rFonts w:ascii="仿宋_GB2312" w:eastAsia="仿宋_GB2312" w:cs="DengXian-Regular" w:hint="eastAsia"/>
          <w:sz w:val="32"/>
          <w:szCs w:val="32"/>
        </w:rPr>
        <w:t>）决算真实性（</w:t>
      </w:r>
      <w:r>
        <w:rPr>
          <w:rFonts w:ascii="仿宋_GB2312" w:eastAsia="仿宋_GB2312" w:cs="DengXian-Regular" w:hint="eastAsia"/>
          <w:sz w:val="32"/>
          <w:szCs w:val="32"/>
        </w:rPr>
        <w:t>3</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该指标主要评价决算编制数据是否与账表一致，即决算报表数据与会计账簿数据是否一致。</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w:t>
      </w:r>
      <w:proofErr w:type="gramStart"/>
      <w:r>
        <w:rPr>
          <w:rFonts w:ascii="仿宋_GB2312" w:eastAsia="仿宋_GB2312" w:cs="DengXian-Regular" w:hint="eastAsia"/>
          <w:sz w:val="32"/>
          <w:szCs w:val="32"/>
        </w:rPr>
        <w:t>核查</w:t>
      </w:r>
      <w:r>
        <w:rPr>
          <w:rFonts w:ascii="仿宋_GB2312" w:eastAsia="仿宋_GB2312" w:cs="DengXian-Regular" w:hint="eastAsia"/>
          <w:sz w:val="32"/>
          <w:szCs w:val="32"/>
        </w:rPr>
        <w:t>区</w:t>
      </w:r>
      <w:proofErr w:type="gramEnd"/>
      <w:r>
        <w:rPr>
          <w:rFonts w:ascii="仿宋_GB2312" w:eastAsia="仿宋_GB2312" w:cs="DengXian-Regular" w:hint="eastAsia"/>
          <w:sz w:val="32"/>
          <w:szCs w:val="32"/>
        </w:rPr>
        <w:t>法院</w:t>
      </w:r>
      <w:r>
        <w:rPr>
          <w:rFonts w:ascii="仿宋_GB2312" w:eastAsia="仿宋_GB2312" w:cs="DengXian-Regular" w:hint="eastAsia"/>
          <w:sz w:val="32"/>
          <w:szCs w:val="32"/>
        </w:rPr>
        <w:t>2019</w:t>
      </w:r>
      <w:r>
        <w:rPr>
          <w:rFonts w:ascii="仿宋_GB2312" w:eastAsia="仿宋_GB2312" w:cs="DengXian-Regular" w:hint="eastAsia"/>
          <w:sz w:val="32"/>
          <w:szCs w:val="32"/>
        </w:rPr>
        <w:t>年决算文本、明细账及总账，我单位决算文本数据均与明细账、总账一致。</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预算管理（</w:t>
      </w:r>
      <w:r>
        <w:rPr>
          <w:rFonts w:ascii="仿宋_GB2312" w:eastAsia="仿宋_GB2312" w:cs="DengXian-Regular" w:hint="eastAsia"/>
          <w:sz w:val="32"/>
          <w:szCs w:val="32"/>
        </w:rPr>
        <w:t>16</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1</w:t>
      </w:r>
      <w:r>
        <w:rPr>
          <w:rFonts w:ascii="仿宋_GB2312" w:eastAsia="仿宋_GB2312" w:cs="DengXian-Regular" w:hint="eastAsia"/>
          <w:sz w:val="32"/>
          <w:szCs w:val="32"/>
        </w:rPr>
        <w:t>）管理制度健全性（</w:t>
      </w:r>
      <w:r>
        <w:rPr>
          <w:rFonts w:ascii="仿宋_GB2312" w:eastAsia="仿宋_GB2312" w:cs="DengXian-Regular" w:hint="eastAsia"/>
          <w:sz w:val="32"/>
          <w:szCs w:val="32"/>
        </w:rPr>
        <w:t>4</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该指标主要评价部门是否制定资金管理办法、财务管理制度、会计核算</w:t>
      </w:r>
      <w:r>
        <w:rPr>
          <w:rFonts w:ascii="仿宋_GB2312" w:eastAsia="仿宋_GB2312" w:cs="DengXian-Regular" w:hint="eastAsia"/>
          <w:sz w:val="32"/>
          <w:szCs w:val="32"/>
        </w:rPr>
        <w:t>制度等相关内部控制制度，制度执行是否得到有效执行。</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区法院</w:t>
      </w:r>
      <w:r>
        <w:rPr>
          <w:rFonts w:ascii="仿宋_GB2312" w:eastAsia="仿宋_GB2312" w:cs="DengXian-Regular" w:hint="eastAsia"/>
          <w:sz w:val="32"/>
          <w:szCs w:val="32"/>
        </w:rPr>
        <w:t>工作制度涵盖了财务制度、网络安全制度、公务用车制度等相关制度，经检查我单位付款流程审批单、资产盘点表等资料，已按照相关管理制度的规定执行。</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2</w:t>
      </w:r>
      <w:r>
        <w:rPr>
          <w:rFonts w:ascii="仿宋_GB2312" w:eastAsia="仿宋_GB2312" w:cs="DengXian-Regular" w:hint="eastAsia"/>
          <w:sz w:val="32"/>
          <w:szCs w:val="32"/>
        </w:rPr>
        <w:t>）预决算信息公开性（</w:t>
      </w:r>
      <w:r>
        <w:rPr>
          <w:rFonts w:ascii="仿宋_GB2312" w:eastAsia="仿宋_GB2312" w:cs="DengXian-Regular" w:hint="eastAsia"/>
          <w:sz w:val="32"/>
          <w:szCs w:val="32"/>
        </w:rPr>
        <w:t>4</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该指标主要评价部门是否按照政府信息公开的有关要求在相关网站公开部门预算、预算执行情况、年度工作任务等相关信息。</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区法院</w:t>
      </w:r>
      <w:r>
        <w:rPr>
          <w:rFonts w:ascii="仿宋_GB2312" w:eastAsia="仿宋_GB2312" w:cs="DengXian-Regular" w:hint="eastAsia"/>
          <w:sz w:val="32"/>
          <w:szCs w:val="32"/>
        </w:rPr>
        <w:t>2019</w:t>
      </w:r>
      <w:r>
        <w:rPr>
          <w:rFonts w:ascii="仿宋_GB2312" w:eastAsia="仿宋_GB2312" w:cs="DengXian-Regular" w:hint="eastAsia"/>
          <w:sz w:val="32"/>
          <w:szCs w:val="32"/>
        </w:rPr>
        <w:t>年按政府信息公开的有关要求在保定市徐水区人民政府</w:t>
      </w:r>
      <w:proofErr w:type="gramStart"/>
      <w:r>
        <w:rPr>
          <w:rFonts w:ascii="仿宋_GB2312" w:eastAsia="仿宋_GB2312" w:cs="DengXian-Regular" w:hint="eastAsia"/>
          <w:sz w:val="32"/>
          <w:szCs w:val="32"/>
        </w:rPr>
        <w:t>网公开</w:t>
      </w:r>
      <w:proofErr w:type="gramEnd"/>
      <w:r>
        <w:rPr>
          <w:rFonts w:ascii="仿宋_GB2312" w:eastAsia="仿宋_GB2312" w:cs="DengXian-Regular" w:hint="eastAsia"/>
          <w:sz w:val="32"/>
          <w:szCs w:val="32"/>
        </w:rPr>
        <w:t>了</w:t>
      </w:r>
      <w:r>
        <w:rPr>
          <w:rFonts w:ascii="仿宋_GB2312" w:eastAsia="仿宋_GB2312" w:cs="DengXian-Regular" w:hint="eastAsia"/>
          <w:sz w:val="32"/>
          <w:szCs w:val="32"/>
        </w:rPr>
        <w:t>2019</w:t>
      </w:r>
      <w:r>
        <w:rPr>
          <w:rFonts w:ascii="仿宋_GB2312" w:eastAsia="仿宋_GB2312" w:cs="DengXian-Regular" w:hint="eastAsia"/>
          <w:sz w:val="32"/>
          <w:szCs w:val="32"/>
        </w:rPr>
        <w:t>年的预决算情况、部门责任清单、行政监督清单等相关信息。</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3</w:t>
      </w:r>
      <w:r>
        <w:rPr>
          <w:rFonts w:ascii="仿宋_GB2312" w:eastAsia="仿宋_GB2312" w:cs="DengXian-Regular" w:hint="eastAsia"/>
          <w:sz w:val="32"/>
          <w:szCs w:val="32"/>
        </w:rPr>
        <w:t>）基础信息完善性（</w:t>
      </w:r>
      <w:r>
        <w:rPr>
          <w:rFonts w:ascii="仿宋_GB2312" w:eastAsia="仿宋_GB2312" w:cs="DengXian-Regular" w:hint="eastAsia"/>
          <w:sz w:val="32"/>
          <w:szCs w:val="32"/>
        </w:rPr>
        <w:t>4</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该指标主要评价基础数据信息和财务信息资料是否真实、完整。</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Pr>
          <w:rFonts w:ascii="仿宋_GB2312" w:eastAsia="仿宋_GB2312" w:cs="DengXian-Regular" w:hint="eastAsia"/>
          <w:sz w:val="32"/>
          <w:szCs w:val="32"/>
        </w:rPr>
        <w:t>区法院</w:t>
      </w:r>
      <w:r>
        <w:rPr>
          <w:rFonts w:ascii="仿宋_GB2312" w:eastAsia="仿宋_GB2312" w:cs="DengXian-Regular" w:hint="eastAsia"/>
          <w:sz w:val="32"/>
          <w:szCs w:val="32"/>
        </w:rPr>
        <w:t>提供的会计账簿、凭证及其他相关资料，会计信息资料真实</w:t>
      </w:r>
      <w:r>
        <w:rPr>
          <w:rFonts w:ascii="仿宋_GB2312" w:eastAsia="仿宋_GB2312" w:cs="DengXian-Regular" w:hint="eastAsia"/>
          <w:sz w:val="32"/>
          <w:szCs w:val="32"/>
        </w:rPr>
        <w:t>.</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4</w:t>
      </w:r>
      <w:r>
        <w:rPr>
          <w:rFonts w:ascii="仿宋_GB2312" w:eastAsia="仿宋_GB2312" w:cs="DengXian-Regular" w:hint="eastAsia"/>
          <w:sz w:val="32"/>
          <w:szCs w:val="32"/>
        </w:rPr>
        <w:t>）资产管理规范性（</w:t>
      </w:r>
      <w:r>
        <w:rPr>
          <w:rFonts w:ascii="仿宋_GB2312" w:eastAsia="仿宋_GB2312" w:cs="DengXian-Regular" w:hint="eastAsia"/>
          <w:sz w:val="32"/>
          <w:szCs w:val="32"/>
        </w:rPr>
        <w:t>4</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该指标主要评价资产管理是否规范，是否建立</w:t>
      </w:r>
      <w:proofErr w:type="gramStart"/>
      <w:r>
        <w:rPr>
          <w:rFonts w:ascii="仿宋_GB2312" w:eastAsia="仿宋_GB2312" w:cs="DengXian-Regular" w:hint="eastAsia"/>
          <w:sz w:val="32"/>
          <w:szCs w:val="32"/>
        </w:rPr>
        <w:t>资产台</w:t>
      </w:r>
      <w:proofErr w:type="gramEnd"/>
      <w:r>
        <w:rPr>
          <w:rFonts w:ascii="仿宋_GB2312" w:eastAsia="仿宋_GB2312" w:cs="DengXian-Regular" w:hint="eastAsia"/>
          <w:sz w:val="32"/>
          <w:szCs w:val="32"/>
        </w:rPr>
        <w:t>账，新增资产是否符合规定程序和规定标准，资产的配置是否合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，资产保存是否完整。</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区法院</w:t>
      </w:r>
      <w:r>
        <w:rPr>
          <w:rFonts w:ascii="仿宋_GB2312" w:eastAsia="仿宋_GB2312" w:cs="DengXian-Regular" w:hint="eastAsia"/>
          <w:sz w:val="32"/>
          <w:szCs w:val="32"/>
        </w:rPr>
        <w:t>资产保存完整，</w:t>
      </w:r>
      <w:r>
        <w:rPr>
          <w:rFonts w:ascii="仿宋_GB2312" w:eastAsia="仿宋_GB2312" w:cs="DengXian-Regular" w:hint="eastAsia"/>
          <w:sz w:val="32"/>
          <w:szCs w:val="32"/>
        </w:rPr>
        <w:t>2019</w:t>
      </w:r>
      <w:r>
        <w:rPr>
          <w:rFonts w:ascii="仿宋_GB2312" w:eastAsia="仿宋_GB2312" w:cs="DengXian-Regular" w:hint="eastAsia"/>
          <w:sz w:val="32"/>
          <w:szCs w:val="32"/>
        </w:rPr>
        <w:t>年新增资产</w:t>
      </w:r>
      <w:r>
        <w:rPr>
          <w:rFonts w:ascii="仿宋_GB2312" w:eastAsia="仿宋_GB2312" w:cs="DengXian-Regular"/>
          <w:sz w:val="32"/>
          <w:szCs w:val="32"/>
        </w:rPr>
        <w:t>325</w:t>
      </w:r>
      <w:r>
        <w:rPr>
          <w:rFonts w:ascii="仿宋_GB2312" w:eastAsia="仿宋_GB2312" w:cs="DengXian-Regular" w:hint="eastAsia"/>
          <w:sz w:val="32"/>
          <w:szCs w:val="32"/>
        </w:rPr>
        <w:t>万元，资产购置手续完备，配置符合要求，资产管理整体较规范。</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hint="eastAsia"/>
          <w:sz w:val="32"/>
          <w:szCs w:val="32"/>
        </w:rPr>
        <w:t>绩效评价（</w:t>
      </w:r>
      <w:r>
        <w:rPr>
          <w:rFonts w:ascii="仿宋_GB2312" w:eastAsia="仿宋_GB2312" w:cs="DengXian-Regular" w:hint="eastAsia"/>
          <w:sz w:val="32"/>
          <w:szCs w:val="32"/>
        </w:rPr>
        <w:t>8</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1</w:t>
      </w:r>
      <w:r>
        <w:rPr>
          <w:rFonts w:ascii="仿宋_GB2312" w:eastAsia="仿宋_GB2312" w:cs="DengXian-Regular" w:hint="eastAsia"/>
          <w:sz w:val="32"/>
          <w:szCs w:val="32"/>
        </w:rPr>
        <w:t>）绩</w:t>
      </w:r>
      <w:r>
        <w:rPr>
          <w:rFonts w:ascii="仿宋_GB2312" w:eastAsia="仿宋_GB2312" w:cs="DengXian-Regular" w:hint="eastAsia"/>
          <w:sz w:val="32"/>
          <w:szCs w:val="32"/>
        </w:rPr>
        <w:t>效自评覆盖率（</w:t>
      </w:r>
      <w:r>
        <w:rPr>
          <w:rFonts w:ascii="仿宋_GB2312" w:eastAsia="仿宋_GB2312" w:cs="DengXian-Regular" w:hint="eastAsia"/>
          <w:sz w:val="32"/>
          <w:szCs w:val="32"/>
        </w:rPr>
        <w:t>4</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该指标主要评价部门是否按相关要求实施绩效自评，通过绩效自评覆盖率来衡量。</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绩效自评覆盖率</w:t>
      </w:r>
      <w:r>
        <w:rPr>
          <w:rFonts w:ascii="仿宋_GB2312" w:eastAsia="仿宋_GB2312" w:cs="DengXian-Regular" w:hint="eastAsia"/>
          <w:sz w:val="32"/>
          <w:szCs w:val="32"/>
        </w:rPr>
        <w:t>=</w:t>
      </w:r>
      <w:r>
        <w:rPr>
          <w:rFonts w:ascii="仿宋_GB2312" w:eastAsia="仿宋_GB2312" w:cs="DengXian-Regular" w:hint="eastAsia"/>
          <w:sz w:val="32"/>
          <w:szCs w:val="32"/>
        </w:rPr>
        <w:t>（报送相关自评材料的数量</w:t>
      </w:r>
      <w:r>
        <w:rPr>
          <w:rFonts w:ascii="仿宋_GB2312" w:eastAsia="仿宋_GB2312" w:cs="DengXian-Regular" w:hint="eastAsia"/>
          <w:sz w:val="32"/>
          <w:szCs w:val="32"/>
        </w:rPr>
        <w:t>/</w:t>
      </w:r>
      <w:r>
        <w:rPr>
          <w:rFonts w:ascii="仿宋_GB2312" w:eastAsia="仿宋_GB2312" w:cs="DengXian-Regular" w:hint="eastAsia"/>
          <w:sz w:val="32"/>
          <w:szCs w:val="32"/>
        </w:rPr>
        <w:t>应实施项目绩效自评数量）</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根据徐水区财政局《关于开展</w:t>
      </w:r>
      <w:r>
        <w:rPr>
          <w:rFonts w:ascii="仿宋_GB2312" w:eastAsia="仿宋_GB2312" w:cs="DengXian-Regular" w:hint="eastAsia"/>
          <w:sz w:val="32"/>
          <w:szCs w:val="32"/>
        </w:rPr>
        <w:t>2019</w:t>
      </w:r>
      <w:r>
        <w:rPr>
          <w:rFonts w:ascii="仿宋_GB2312" w:eastAsia="仿宋_GB2312" w:cs="DengXian-Regular" w:hint="eastAsia"/>
          <w:sz w:val="32"/>
          <w:szCs w:val="32"/>
        </w:rPr>
        <w:t>年度财政专项资金部门绩效自评价工作的通知》及徐水区我单位</w:t>
      </w:r>
      <w:r>
        <w:rPr>
          <w:rFonts w:ascii="仿宋_GB2312" w:eastAsia="仿宋_GB2312" w:cs="DengXian-Regular" w:hint="eastAsia"/>
          <w:sz w:val="32"/>
          <w:szCs w:val="32"/>
        </w:rPr>
        <w:t>2019</w:t>
      </w:r>
      <w:r>
        <w:rPr>
          <w:rFonts w:ascii="仿宋_GB2312" w:eastAsia="仿宋_GB2312" w:cs="DengXian-Regular" w:hint="eastAsia"/>
          <w:sz w:val="32"/>
          <w:szCs w:val="32"/>
        </w:rPr>
        <w:t>年一般项目部门绩效自评表，我单位</w:t>
      </w:r>
      <w:r>
        <w:rPr>
          <w:rFonts w:ascii="仿宋_GB2312" w:eastAsia="仿宋_GB2312" w:cs="DengXian-Regular" w:hint="eastAsia"/>
          <w:sz w:val="32"/>
          <w:szCs w:val="32"/>
        </w:rPr>
        <w:t>2019</w:t>
      </w:r>
      <w:r>
        <w:rPr>
          <w:rFonts w:ascii="仿宋_GB2312" w:eastAsia="仿宋_GB2312" w:cs="DengXian-Regular" w:hint="eastAsia"/>
          <w:sz w:val="32"/>
          <w:szCs w:val="32"/>
        </w:rPr>
        <w:t>年开展绩效自评的项目数为</w:t>
      </w:r>
      <w:r>
        <w:rPr>
          <w:rFonts w:ascii="仿宋_GB2312" w:eastAsia="仿宋_GB2312" w:cs="DengXian-Regular"/>
          <w:sz w:val="32"/>
          <w:szCs w:val="32"/>
        </w:rPr>
        <w:t>12</w:t>
      </w:r>
      <w:r>
        <w:rPr>
          <w:rFonts w:ascii="仿宋_GB2312" w:eastAsia="仿宋_GB2312" w:cs="DengXian-Regular" w:hint="eastAsia"/>
          <w:sz w:val="32"/>
          <w:szCs w:val="32"/>
        </w:rPr>
        <w:t>个，年初预算文本项目数</w:t>
      </w:r>
      <w:r>
        <w:rPr>
          <w:rFonts w:ascii="仿宋_GB2312" w:eastAsia="仿宋_GB2312" w:cs="DengXian-Regular"/>
          <w:sz w:val="32"/>
          <w:szCs w:val="32"/>
        </w:rPr>
        <w:t>9</w:t>
      </w:r>
      <w:r>
        <w:rPr>
          <w:rFonts w:ascii="仿宋_GB2312" w:eastAsia="仿宋_GB2312" w:cs="DengXian-Regular" w:hint="eastAsia"/>
          <w:sz w:val="32"/>
          <w:szCs w:val="32"/>
        </w:rPr>
        <w:t>个，要求自评项目个数</w:t>
      </w:r>
      <w:r>
        <w:rPr>
          <w:rFonts w:ascii="仿宋_GB2312" w:eastAsia="仿宋_GB2312" w:cs="DengXian-Regular"/>
          <w:sz w:val="32"/>
          <w:szCs w:val="32"/>
        </w:rPr>
        <w:t>12</w:t>
      </w:r>
      <w:r>
        <w:rPr>
          <w:rFonts w:ascii="仿宋_GB2312" w:eastAsia="仿宋_GB2312" w:cs="DengXian-Regular" w:hint="eastAsia"/>
          <w:sz w:val="32"/>
          <w:szCs w:val="32"/>
        </w:rPr>
        <w:t>个，自评覆盖率为</w:t>
      </w:r>
      <w:r>
        <w:rPr>
          <w:rFonts w:ascii="仿宋_GB2312" w:eastAsia="仿宋_GB2312" w:cs="DengXian-Regular" w:hint="eastAsia"/>
          <w:sz w:val="32"/>
          <w:szCs w:val="32"/>
        </w:rPr>
        <w:t xml:space="preserve"> </w:t>
      </w:r>
      <w:r>
        <w:rPr>
          <w:rFonts w:ascii="仿宋_GB2312" w:eastAsia="仿宋_GB2312" w:cs="DengXian-Regular"/>
          <w:sz w:val="32"/>
          <w:szCs w:val="32"/>
        </w:rPr>
        <w:t>100</w:t>
      </w:r>
      <w:r>
        <w:rPr>
          <w:rFonts w:ascii="仿宋_GB2312" w:eastAsia="仿宋_GB2312" w:cs="DengXian-Regular" w:hint="eastAsia"/>
          <w:sz w:val="32"/>
          <w:szCs w:val="32"/>
        </w:rPr>
        <w:t>%</w:t>
      </w:r>
      <w:r>
        <w:rPr>
          <w:rFonts w:ascii="仿宋_GB2312" w:eastAsia="仿宋_GB2312" w:cs="DengXian-Regular" w:hint="eastAsia"/>
          <w:sz w:val="32"/>
          <w:szCs w:val="32"/>
        </w:rPr>
        <w:t>。</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2</w:t>
      </w:r>
      <w:r>
        <w:rPr>
          <w:rFonts w:ascii="仿宋_GB2312" w:eastAsia="仿宋_GB2312" w:cs="DengXian-Regular" w:hint="eastAsia"/>
          <w:sz w:val="32"/>
          <w:szCs w:val="32"/>
        </w:rPr>
        <w:t>）绩效评价优等率（</w:t>
      </w:r>
      <w:r>
        <w:rPr>
          <w:rFonts w:ascii="仿宋_GB2312" w:eastAsia="仿宋_GB2312" w:cs="DengXian-Regular" w:hint="eastAsia"/>
          <w:sz w:val="32"/>
          <w:szCs w:val="32"/>
        </w:rPr>
        <w:t>4</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该指标主要评价部门开展的绩效评价项目的完</w:t>
      </w:r>
      <w:r>
        <w:rPr>
          <w:rFonts w:ascii="仿宋_GB2312" w:eastAsia="仿宋_GB2312" w:cs="DengXian-Regular" w:hint="eastAsia"/>
          <w:sz w:val="32"/>
          <w:szCs w:val="32"/>
        </w:rPr>
        <w:t>成质量，通过绩效评价优等率来衡量。</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绩效评价优等率</w:t>
      </w:r>
      <w:r>
        <w:rPr>
          <w:rFonts w:ascii="仿宋_GB2312" w:eastAsia="仿宋_GB2312" w:cs="DengXian-Regular" w:hint="eastAsia"/>
          <w:sz w:val="32"/>
          <w:szCs w:val="32"/>
        </w:rPr>
        <w:t>=</w:t>
      </w:r>
      <w:r>
        <w:rPr>
          <w:rFonts w:ascii="仿宋_GB2312" w:eastAsia="仿宋_GB2312" w:cs="DengXian-Regular" w:hint="eastAsia"/>
          <w:sz w:val="32"/>
          <w:szCs w:val="32"/>
        </w:rPr>
        <w:t>（结果达到优等的数量</w:t>
      </w:r>
      <w:r>
        <w:rPr>
          <w:rFonts w:ascii="仿宋_GB2312" w:eastAsia="仿宋_GB2312" w:cs="DengXian-Regular" w:hint="eastAsia"/>
          <w:sz w:val="32"/>
          <w:szCs w:val="32"/>
        </w:rPr>
        <w:t>/</w:t>
      </w:r>
      <w:r>
        <w:rPr>
          <w:rFonts w:ascii="仿宋_GB2312" w:eastAsia="仿宋_GB2312" w:cs="DengXian-Regular" w:hint="eastAsia"/>
          <w:sz w:val="32"/>
          <w:szCs w:val="32"/>
        </w:rPr>
        <w:t>参评数量）</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区法院</w:t>
      </w:r>
      <w:r>
        <w:rPr>
          <w:rFonts w:ascii="仿宋_GB2312" w:eastAsia="仿宋_GB2312" w:cs="DengXian-Regular" w:hint="eastAsia"/>
          <w:sz w:val="32"/>
          <w:szCs w:val="32"/>
        </w:rPr>
        <w:t>2019</w:t>
      </w:r>
      <w:r>
        <w:rPr>
          <w:rFonts w:ascii="仿宋_GB2312" w:eastAsia="仿宋_GB2312" w:cs="DengXian-Regular" w:hint="eastAsia"/>
          <w:sz w:val="32"/>
          <w:szCs w:val="32"/>
        </w:rPr>
        <w:t>年参评数量</w:t>
      </w:r>
      <w:r>
        <w:rPr>
          <w:rFonts w:ascii="仿宋_GB2312" w:eastAsia="仿宋_GB2312" w:cs="DengXian-Regular"/>
          <w:sz w:val="32"/>
          <w:szCs w:val="32"/>
        </w:rPr>
        <w:t>12</w:t>
      </w:r>
      <w:r>
        <w:rPr>
          <w:rFonts w:ascii="仿宋_GB2312" w:eastAsia="仿宋_GB2312" w:cs="DengXian-Regular" w:hint="eastAsia"/>
          <w:sz w:val="32"/>
          <w:szCs w:val="32"/>
        </w:rPr>
        <w:t>个，绩效评价结果达到优等的数量</w:t>
      </w:r>
      <w:r>
        <w:rPr>
          <w:rFonts w:ascii="仿宋_GB2312" w:eastAsia="仿宋_GB2312" w:cs="DengXian-Regular"/>
          <w:sz w:val="32"/>
          <w:szCs w:val="32"/>
        </w:rPr>
        <w:t>12</w:t>
      </w:r>
      <w:r>
        <w:rPr>
          <w:rFonts w:ascii="仿宋_GB2312" w:eastAsia="仿宋_GB2312" w:cs="DengXian-Regular" w:hint="eastAsia"/>
          <w:sz w:val="32"/>
          <w:szCs w:val="32"/>
        </w:rPr>
        <w:t>个，绩效评价优等率为</w:t>
      </w:r>
      <w:r>
        <w:rPr>
          <w:rFonts w:ascii="仿宋_GB2312" w:eastAsia="仿宋_GB2312" w:cs="DengXian-Regular"/>
          <w:sz w:val="32"/>
          <w:szCs w:val="32"/>
        </w:rPr>
        <w:t>100</w:t>
      </w:r>
      <w:r>
        <w:rPr>
          <w:rFonts w:ascii="仿宋_GB2312" w:eastAsia="仿宋_GB2312" w:cs="DengXian-Regular" w:hint="eastAsia"/>
          <w:sz w:val="32"/>
          <w:szCs w:val="32"/>
        </w:rPr>
        <w:t>%</w:t>
      </w:r>
      <w:r>
        <w:rPr>
          <w:rFonts w:ascii="仿宋_GB2312" w:eastAsia="仿宋_GB2312" w:cs="DengXian-Regular" w:hint="eastAsia"/>
          <w:sz w:val="32"/>
          <w:szCs w:val="32"/>
        </w:rPr>
        <w:t>。</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bookmarkEnd w:id="64"/>
      <w:bookmarkEnd w:id="65"/>
    </w:p>
    <w:p w:rsidR="00D36435" w:rsidRDefault="00C05A13">
      <w:pPr>
        <w:pStyle w:val="3"/>
        <w:spacing w:before="0" w:after="0"/>
        <w:ind w:firstLineChars="200" w:firstLine="643"/>
        <w:jc w:val="both"/>
        <w:rPr>
          <w:rFonts w:ascii="楷体" w:eastAsia="楷体" w:hAnsi="楷体"/>
          <w:sz w:val="32"/>
        </w:rPr>
      </w:pPr>
      <w:bookmarkStart w:id="66" w:name="_Toc12330"/>
      <w:r>
        <w:rPr>
          <w:rFonts w:ascii="楷体" w:eastAsia="楷体" w:hAnsi="楷体" w:hint="eastAsia"/>
          <w:sz w:val="32"/>
        </w:rPr>
        <w:t>（三）产出（</w:t>
      </w:r>
      <w:r>
        <w:rPr>
          <w:rFonts w:ascii="楷体" w:eastAsia="楷体" w:hAnsi="楷体" w:hint="eastAsia"/>
          <w:sz w:val="32"/>
        </w:rPr>
        <w:t>25</w:t>
      </w:r>
      <w:r>
        <w:rPr>
          <w:rFonts w:ascii="楷体" w:eastAsia="楷体" w:hAnsi="楷体" w:hint="eastAsia"/>
          <w:sz w:val="32"/>
        </w:rPr>
        <w:t>分）</w:t>
      </w:r>
      <w:bookmarkEnd w:id="66"/>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该一级指标包含责任履行一个二级指标，主要反映结转结余率，项目资金使用率，社区矫正人数，社区服刑人员再次犯罪率，法律援助案件办结率。</w:t>
      </w:r>
    </w:p>
    <w:p w:rsidR="00D36435" w:rsidRDefault="00C05A13">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w:t>
      </w:r>
      <w:r>
        <w:rPr>
          <w:rFonts w:asciiTheme="minorEastAsia" w:eastAsiaTheme="minorEastAsia" w:hAnsiTheme="minorEastAsia" w:cstheme="minorEastAsia" w:hint="eastAsia"/>
          <w:b/>
          <w:bCs/>
          <w:sz w:val="32"/>
          <w:szCs w:val="32"/>
        </w:rPr>
        <w:t xml:space="preserve">4  </w:t>
      </w:r>
      <w:r>
        <w:rPr>
          <w:rFonts w:asciiTheme="minorEastAsia" w:eastAsiaTheme="minorEastAsia" w:hAnsiTheme="minorEastAsia" w:cstheme="minorEastAsia" w:hint="eastAsia"/>
          <w:b/>
          <w:bCs/>
          <w:sz w:val="32"/>
          <w:szCs w:val="32"/>
        </w:rPr>
        <w:t>产出指标及得分情况表</w:t>
      </w:r>
    </w:p>
    <w:tbl>
      <w:tblPr>
        <w:tblW w:w="7095" w:type="dxa"/>
        <w:jc w:val="center"/>
        <w:tblLayout w:type="fixed"/>
        <w:tblCellMar>
          <w:top w:w="15" w:type="dxa"/>
          <w:left w:w="15" w:type="dxa"/>
          <w:bottom w:w="15" w:type="dxa"/>
          <w:right w:w="15" w:type="dxa"/>
        </w:tblCellMar>
        <w:tblLook w:val="04A0" w:firstRow="1" w:lastRow="0" w:firstColumn="1" w:lastColumn="0" w:noHBand="0" w:noVBand="1"/>
      </w:tblPr>
      <w:tblGrid>
        <w:gridCol w:w="1577"/>
        <w:gridCol w:w="1004"/>
        <w:gridCol w:w="2536"/>
        <w:gridCol w:w="1125"/>
        <w:gridCol w:w="853"/>
      </w:tblGrid>
      <w:tr w:rsidR="00D36435">
        <w:trPr>
          <w:trHeight w:hRule="exact" w:val="397"/>
          <w:jc w:val="center"/>
        </w:trPr>
        <w:tc>
          <w:tcPr>
            <w:tcW w:w="1577"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004"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536"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25"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853"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D36435">
        <w:trPr>
          <w:trHeight w:hRule="exact" w:val="397"/>
          <w:jc w:val="center"/>
        </w:trPr>
        <w:tc>
          <w:tcPr>
            <w:tcW w:w="1577" w:type="dxa"/>
            <w:vMerge w:val="restart"/>
            <w:tcBorders>
              <w:top w:val="single" w:sz="4" w:space="0" w:color="000000"/>
              <w:left w:val="single" w:sz="4" w:space="0" w:color="000000"/>
              <w:bottom w:val="single" w:sz="4" w:space="0" w:color="000000"/>
              <w:right w:val="single" w:sz="4" w:space="0" w:color="000000"/>
            </w:tcBorders>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产出</w:t>
            </w:r>
          </w:p>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25</w:t>
            </w:r>
            <w:r>
              <w:rPr>
                <w:rFonts w:asciiTheme="minorEastAsia" w:eastAsiaTheme="minorEastAsia" w:hAnsiTheme="minorEastAsia" w:cs="宋体" w:hint="eastAsia"/>
                <w:sz w:val="21"/>
                <w:szCs w:val="21"/>
              </w:rPr>
              <w:t>分）</w:t>
            </w:r>
          </w:p>
        </w:tc>
        <w:tc>
          <w:tcPr>
            <w:tcW w:w="1004" w:type="dxa"/>
            <w:vMerge w:val="restart"/>
            <w:tcBorders>
              <w:top w:val="single" w:sz="4" w:space="0" w:color="000000"/>
              <w:left w:val="single" w:sz="4" w:space="0" w:color="000000"/>
              <w:right w:val="single" w:sz="4" w:space="0" w:color="000000"/>
            </w:tcBorders>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责任履行（</w:t>
            </w:r>
            <w:r>
              <w:rPr>
                <w:rFonts w:asciiTheme="minorEastAsia" w:eastAsiaTheme="minorEastAsia" w:hAnsiTheme="minorEastAsia" w:cs="宋体" w:hint="eastAsia"/>
                <w:sz w:val="21"/>
                <w:szCs w:val="21"/>
              </w:rPr>
              <w:t>25</w:t>
            </w:r>
            <w:r>
              <w:rPr>
                <w:rFonts w:asciiTheme="minorEastAsia" w:eastAsiaTheme="minorEastAsia" w:hAnsiTheme="minorEastAsia" w:cs="宋体" w:hint="eastAsia"/>
                <w:sz w:val="21"/>
                <w:szCs w:val="21"/>
              </w:rPr>
              <w:t>分）</w:t>
            </w:r>
          </w:p>
        </w:tc>
        <w:tc>
          <w:tcPr>
            <w:tcW w:w="2536"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结转结余率</w:t>
            </w:r>
          </w:p>
        </w:tc>
        <w:tc>
          <w:tcPr>
            <w:tcW w:w="1125"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w:t>
            </w:r>
          </w:p>
        </w:tc>
      </w:tr>
      <w:tr w:rsidR="00D36435">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D36435" w:rsidRDefault="00D36435">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D36435" w:rsidRDefault="00D36435">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项目资金使用率</w:t>
            </w:r>
          </w:p>
        </w:tc>
        <w:tc>
          <w:tcPr>
            <w:tcW w:w="1125"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D36435">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D36435" w:rsidRDefault="00D36435">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D36435" w:rsidRDefault="00D36435">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社区矫正人数</w:t>
            </w:r>
          </w:p>
        </w:tc>
        <w:tc>
          <w:tcPr>
            <w:tcW w:w="1125"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D36435">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D36435" w:rsidRDefault="00D36435">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D36435" w:rsidRDefault="00D36435">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社区服刑人员再次犯罪率</w:t>
            </w:r>
          </w:p>
        </w:tc>
        <w:tc>
          <w:tcPr>
            <w:tcW w:w="1125"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D36435">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D36435" w:rsidRDefault="00D36435">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D36435" w:rsidRDefault="00D36435">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法律援助办结率</w:t>
            </w:r>
          </w:p>
        </w:tc>
        <w:tc>
          <w:tcPr>
            <w:tcW w:w="1125"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D36435">
        <w:trPr>
          <w:trHeight w:hRule="exact" w:val="397"/>
          <w:jc w:val="center"/>
        </w:trPr>
        <w:tc>
          <w:tcPr>
            <w:tcW w:w="2581" w:type="dxa"/>
            <w:gridSpan w:val="2"/>
            <w:tcBorders>
              <w:top w:val="single" w:sz="4" w:space="0" w:color="000000"/>
              <w:left w:val="single" w:sz="4" w:space="0" w:color="000000"/>
              <w:bottom w:val="single" w:sz="4" w:space="0" w:color="000000"/>
              <w:right w:val="single" w:sz="4" w:space="0" w:color="000000"/>
            </w:tcBorders>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536" w:type="dxa"/>
            <w:tcBorders>
              <w:top w:val="single" w:sz="4" w:space="0" w:color="000000"/>
              <w:left w:val="single" w:sz="4" w:space="0" w:color="000000"/>
              <w:bottom w:val="single" w:sz="4" w:space="0" w:color="000000"/>
              <w:right w:val="single" w:sz="4" w:space="0" w:color="000000"/>
            </w:tcBorders>
            <w:vAlign w:val="center"/>
          </w:tcPr>
          <w:p w:rsidR="00D36435" w:rsidRDefault="00D36435">
            <w:pPr>
              <w:spacing w:line="420" w:lineRule="exact"/>
              <w:jc w:val="center"/>
              <w:rPr>
                <w:rFonts w:asciiTheme="minorEastAsia" w:eastAsiaTheme="minorEastAsia" w:hAnsiTheme="minorEastAsia" w:cs="宋体"/>
                <w:sz w:val="21"/>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25</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21.5</w:t>
            </w:r>
          </w:p>
        </w:tc>
      </w:tr>
    </w:tbl>
    <w:p w:rsidR="00D36435" w:rsidRDefault="00C05A13">
      <w:pPr>
        <w:spacing w:after="0" w:line="360" w:lineRule="auto"/>
        <w:ind w:firstLineChars="200" w:firstLine="640"/>
        <w:jc w:val="both"/>
        <w:textAlignment w:val="baseline"/>
        <w:rPr>
          <w:rFonts w:ascii="仿宋_GB2312" w:eastAsia="仿宋_GB2312" w:cs="DengXian-Regular"/>
          <w:sz w:val="32"/>
          <w:szCs w:val="32"/>
        </w:rPr>
      </w:pPr>
      <w:bookmarkStart w:id="67" w:name="_Toc464638518"/>
      <w:bookmarkStart w:id="68" w:name="_Toc465149515"/>
      <w:r>
        <w:rPr>
          <w:rFonts w:ascii="仿宋_GB2312" w:eastAsia="仿宋_GB2312" w:cs="DengXian-Regular" w:hint="eastAsia"/>
          <w:sz w:val="32"/>
          <w:szCs w:val="32"/>
        </w:rPr>
        <w:t>1.</w:t>
      </w:r>
      <w:r>
        <w:rPr>
          <w:rFonts w:ascii="仿宋_GB2312" w:eastAsia="仿宋_GB2312" w:cs="DengXian-Regular" w:hint="eastAsia"/>
          <w:sz w:val="32"/>
          <w:szCs w:val="32"/>
        </w:rPr>
        <w:t>结转结余率（</w:t>
      </w:r>
      <w:r>
        <w:rPr>
          <w:rFonts w:ascii="仿宋_GB2312" w:eastAsia="仿宋_GB2312" w:cs="DengXian-Regular" w:hint="eastAsia"/>
          <w:sz w:val="32"/>
          <w:szCs w:val="32"/>
        </w:rPr>
        <w:t>5</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该指标主要评价部门的结转结余情况，通过结转结余率衡量。</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结转结余率</w:t>
      </w:r>
      <w:r>
        <w:rPr>
          <w:rFonts w:ascii="仿宋_GB2312" w:eastAsia="仿宋_GB2312" w:cs="DengXian-Regular" w:hint="eastAsia"/>
          <w:sz w:val="32"/>
          <w:szCs w:val="32"/>
        </w:rPr>
        <w:t>=</w:t>
      </w:r>
      <w:r>
        <w:rPr>
          <w:rFonts w:ascii="仿宋_GB2312" w:eastAsia="仿宋_GB2312" w:cs="DengXian-Regular" w:hint="eastAsia"/>
          <w:sz w:val="32"/>
          <w:szCs w:val="32"/>
        </w:rPr>
        <w:t>（本年结转结余数</w:t>
      </w:r>
      <w:r>
        <w:rPr>
          <w:rFonts w:ascii="仿宋_GB2312" w:eastAsia="仿宋_GB2312" w:cs="DengXian-Regular" w:hint="eastAsia"/>
          <w:sz w:val="32"/>
          <w:szCs w:val="32"/>
        </w:rPr>
        <w:t>/</w:t>
      </w:r>
      <w:r>
        <w:rPr>
          <w:rFonts w:ascii="仿宋_GB2312" w:eastAsia="仿宋_GB2312" w:cs="DengXian-Regular" w:hint="eastAsia"/>
          <w:sz w:val="32"/>
          <w:szCs w:val="32"/>
        </w:rPr>
        <w:t>决算收入数）</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Pr>
          <w:rFonts w:ascii="仿宋_GB2312" w:eastAsia="仿宋_GB2312" w:cs="DengXian-Regular" w:hint="eastAsia"/>
          <w:sz w:val="32"/>
          <w:szCs w:val="32"/>
        </w:rPr>
        <w:t>区法院</w:t>
      </w:r>
      <w:r>
        <w:rPr>
          <w:rFonts w:ascii="仿宋_GB2312" w:eastAsia="仿宋_GB2312" w:cs="DengXian-Regular" w:hint="eastAsia"/>
          <w:sz w:val="32"/>
          <w:szCs w:val="32"/>
        </w:rPr>
        <w:t>2019</w:t>
      </w:r>
      <w:r>
        <w:rPr>
          <w:rFonts w:ascii="仿宋_GB2312" w:eastAsia="仿宋_GB2312" w:cs="DengXian-Regular" w:hint="eastAsia"/>
          <w:sz w:val="32"/>
          <w:szCs w:val="32"/>
        </w:rPr>
        <w:t>年决算文本及相关资料，我单位</w:t>
      </w:r>
      <w:r>
        <w:rPr>
          <w:rFonts w:ascii="仿宋_GB2312" w:eastAsia="仿宋_GB2312" w:cs="DengXian-Regular" w:hint="eastAsia"/>
          <w:sz w:val="32"/>
          <w:szCs w:val="32"/>
        </w:rPr>
        <w:t>2019</w:t>
      </w:r>
      <w:r>
        <w:rPr>
          <w:rFonts w:ascii="仿宋_GB2312" w:eastAsia="仿宋_GB2312" w:cs="DengXian-Regular" w:hint="eastAsia"/>
          <w:sz w:val="32"/>
          <w:szCs w:val="32"/>
        </w:rPr>
        <w:t>年结转结余资金</w:t>
      </w:r>
      <w:r>
        <w:rPr>
          <w:rFonts w:ascii="仿宋_GB2312" w:eastAsia="仿宋_GB2312" w:cs="DengXian-Regular"/>
          <w:sz w:val="32"/>
          <w:szCs w:val="32"/>
        </w:rPr>
        <w:t>171</w:t>
      </w:r>
      <w:r>
        <w:rPr>
          <w:rFonts w:ascii="仿宋_GB2312" w:eastAsia="仿宋_GB2312" w:cs="DengXian-Regular" w:hint="eastAsia"/>
          <w:sz w:val="32"/>
          <w:szCs w:val="32"/>
        </w:rPr>
        <w:t>万元，决算收入</w:t>
      </w:r>
      <w:r>
        <w:rPr>
          <w:rFonts w:ascii="仿宋_GB2312" w:eastAsia="仿宋_GB2312" w:cs="DengXian-Regular"/>
          <w:sz w:val="32"/>
          <w:szCs w:val="32"/>
        </w:rPr>
        <w:t>2442</w:t>
      </w:r>
      <w:r>
        <w:rPr>
          <w:rFonts w:ascii="仿宋_GB2312" w:eastAsia="仿宋_GB2312" w:cs="DengXian-Regular" w:hint="eastAsia"/>
          <w:sz w:val="32"/>
          <w:szCs w:val="32"/>
        </w:rPr>
        <w:t>万元，结转结余率</w:t>
      </w:r>
      <w:r>
        <w:rPr>
          <w:rFonts w:ascii="仿宋_GB2312" w:eastAsia="仿宋_GB2312" w:cs="DengXian-Regular"/>
          <w:sz w:val="32"/>
          <w:szCs w:val="32"/>
        </w:rPr>
        <w:t>7</w:t>
      </w:r>
      <w:r>
        <w:rPr>
          <w:rFonts w:ascii="仿宋_GB2312" w:eastAsia="仿宋_GB2312" w:cs="DengXian-Regular" w:hint="eastAsia"/>
          <w:sz w:val="32"/>
          <w:szCs w:val="32"/>
        </w:rPr>
        <w:t>%</w:t>
      </w:r>
      <w:r>
        <w:rPr>
          <w:rFonts w:ascii="仿宋_GB2312" w:eastAsia="仿宋_GB2312" w:cs="DengXian-Regular" w:hint="eastAsia"/>
          <w:sz w:val="32"/>
          <w:szCs w:val="32"/>
        </w:rPr>
        <w:t>，大于</w:t>
      </w:r>
      <w:r>
        <w:rPr>
          <w:rFonts w:ascii="仿宋_GB2312" w:eastAsia="仿宋_GB2312" w:cs="DengXian-Regular" w:hint="eastAsia"/>
          <w:sz w:val="32"/>
          <w:szCs w:val="32"/>
        </w:rPr>
        <w:t>5%</w:t>
      </w:r>
      <w:r>
        <w:rPr>
          <w:rFonts w:ascii="仿宋_GB2312" w:eastAsia="仿宋_GB2312" w:cs="DengXian-Regular" w:hint="eastAsia"/>
          <w:sz w:val="32"/>
          <w:szCs w:val="32"/>
        </w:rPr>
        <w:t>。</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1.5</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项目资金使用率（</w:t>
      </w:r>
      <w:r>
        <w:rPr>
          <w:rFonts w:ascii="仿宋_GB2312" w:eastAsia="仿宋_GB2312" w:cs="DengXian-Regular" w:hint="eastAsia"/>
          <w:sz w:val="32"/>
          <w:szCs w:val="32"/>
        </w:rPr>
        <w:t>5</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该指标主要评价项目资金的使用效率，通过项目资金使用率来衡量。</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项目资金使用率</w:t>
      </w:r>
      <w:r>
        <w:rPr>
          <w:rFonts w:ascii="仿宋_GB2312" w:eastAsia="仿宋_GB2312" w:cs="DengXian-Regular" w:hint="eastAsia"/>
          <w:sz w:val="32"/>
          <w:szCs w:val="32"/>
        </w:rPr>
        <w:t>=</w:t>
      </w:r>
      <w:r>
        <w:rPr>
          <w:rFonts w:ascii="仿宋_GB2312" w:eastAsia="仿宋_GB2312" w:cs="DengXian-Regular" w:hint="eastAsia"/>
          <w:sz w:val="32"/>
          <w:szCs w:val="32"/>
        </w:rPr>
        <w:t>（实际支出项目资金总额</w:t>
      </w:r>
      <w:r>
        <w:rPr>
          <w:rFonts w:ascii="仿宋_GB2312" w:eastAsia="仿宋_GB2312" w:cs="DengXian-Regular" w:hint="eastAsia"/>
          <w:sz w:val="32"/>
          <w:szCs w:val="32"/>
        </w:rPr>
        <w:t>/</w:t>
      </w:r>
      <w:r>
        <w:rPr>
          <w:rFonts w:ascii="仿宋_GB2312" w:eastAsia="仿宋_GB2312" w:cs="DengXian-Regular" w:hint="eastAsia"/>
          <w:sz w:val="32"/>
          <w:szCs w:val="32"/>
        </w:rPr>
        <w:t>计划完整项目资金总数）</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区法院</w:t>
      </w:r>
      <w:r>
        <w:rPr>
          <w:rFonts w:ascii="仿宋_GB2312" w:eastAsia="仿宋_GB2312" w:cs="DengXian-Regular" w:hint="eastAsia"/>
          <w:sz w:val="32"/>
          <w:szCs w:val="32"/>
        </w:rPr>
        <w:t>2019</w:t>
      </w:r>
      <w:r>
        <w:rPr>
          <w:rFonts w:ascii="仿宋_GB2312" w:eastAsia="仿宋_GB2312" w:cs="DengXian-Regular" w:hint="eastAsia"/>
          <w:sz w:val="32"/>
          <w:szCs w:val="32"/>
        </w:rPr>
        <w:t>年实际支出项目资金总额</w:t>
      </w:r>
      <w:r>
        <w:rPr>
          <w:rFonts w:ascii="仿宋_GB2312" w:eastAsia="仿宋_GB2312" w:cs="DengXian-Regular"/>
          <w:sz w:val="32"/>
          <w:szCs w:val="32"/>
        </w:rPr>
        <w:t>848</w:t>
      </w:r>
      <w:r>
        <w:rPr>
          <w:rFonts w:ascii="仿宋_GB2312" w:eastAsia="仿宋_GB2312" w:cs="DengXian-Regular" w:hint="eastAsia"/>
          <w:sz w:val="32"/>
          <w:szCs w:val="32"/>
        </w:rPr>
        <w:t>万元，年初预算共</w:t>
      </w:r>
      <w:r>
        <w:rPr>
          <w:rFonts w:ascii="仿宋_GB2312" w:eastAsia="仿宋_GB2312" w:cs="DengXian-Regular"/>
          <w:sz w:val="32"/>
          <w:szCs w:val="32"/>
        </w:rPr>
        <w:t>9</w:t>
      </w:r>
      <w:r>
        <w:rPr>
          <w:rFonts w:ascii="仿宋_GB2312" w:eastAsia="仿宋_GB2312" w:cs="DengXian-Regular" w:hint="eastAsia"/>
          <w:sz w:val="32"/>
          <w:szCs w:val="32"/>
        </w:rPr>
        <w:t>个项目，预算数</w:t>
      </w:r>
      <w:r>
        <w:rPr>
          <w:rFonts w:ascii="仿宋_GB2312" w:eastAsia="仿宋_GB2312" w:cs="DengXian-Regular"/>
          <w:sz w:val="32"/>
          <w:szCs w:val="32"/>
        </w:rPr>
        <w:t>769</w:t>
      </w:r>
      <w:r>
        <w:rPr>
          <w:rFonts w:ascii="仿宋_GB2312" w:eastAsia="仿宋_GB2312" w:cs="DengXian-Regular" w:hint="eastAsia"/>
          <w:sz w:val="32"/>
          <w:szCs w:val="32"/>
        </w:rPr>
        <w:t>万元，年中追加项目资金</w:t>
      </w:r>
      <w:r>
        <w:rPr>
          <w:rFonts w:ascii="仿宋_GB2312" w:eastAsia="仿宋_GB2312" w:cs="DengXian-Regular"/>
          <w:sz w:val="32"/>
          <w:szCs w:val="32"/>
        </w:rPr>
        <w:t>85.99</w:t>
      </w:r>
      <w:r>
        <w:rPr>
          <w:rFonts w:ascii="仿宋_GB2312" w:eastAsia="仿宋_GB2312" w:cs="DengXian-Regular" w:hint="eastAsia"/>
          <w:sz w:val="32"/>
          <w:szCs w:val="32"/>
        </w:rPr>
        <w:t>万元，项目资金使用率为</w:t>
      </w:r>
      <w:r>
        <w:rPr>
          <w:rFonts w:ascii="仿宋_GB2312" w:eastAsia="仿宋_GB2312" w:cs="DengXian-Regular"/>
          <w:sz w:val="32"/>
          <w:szCs w:val="32"/>
        </w:rPr>
        <w:t>99</w:t>
      </w:r>
      <w:r>
        <w:rPr>
          <w:rFonts w:ascii="仿宋_GB2312" w:eastAsia="仿宋_GB2312" w:cs="DengXian-Regular" w:hint="eastAsia"/>
          <w:sz w:val="32"/>
          <w:szCs w:val="32"/>
        </w:rPr>
        <w:t>%</w:t>
      </w:r>
      <w:r>
        <w:rPr>
          <w:rFonts w:ascii="仿宋_GB2312" w:eastAsia="仿宋_GB2312" w:cs="DengXian-Regular" w:hint="eastAsia"/>
          <w:sz w:val="32"/>
          <w:szCs w:val="32"/>
        </w:rPr>
        <w:t>。</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5</w:t>
      </w:r>
      <w:r>
        <w:rPr>
          <w:rFonts w:ascii="仿宋_GB2312" w:eastAsia="仿宋_GB2312" w:cs="DengXian-Regular" w:hint="eastAsia"/>
          <w:sz w:val="32"/>
          <w:szCs w:val="32"/>
        </w:rPr>
        <w:t>分。</w:t>
      </w:r>
    </w:p>
    <w:p w:rsidR="00D36435" w:rsidRDefault="00C05A13">
      <w:pPr>
        <w:pStyle w:val="3"/>
        <w:spacing w:before="0" w:after="0"/>
        <w:ind w:firstLineChars="200" w:firstLine="643"/>
        <w:jc w:val="both"/>
        <w:rPr>
          <w:rFonts w:ascii="楷体" w:eastAsia="楷体" w:hAnsi="楷体"/>
          <w:sz w:val="32"/>
        </w:rPr>
      </w:pPr>
      <w:bookmarkStart w:id="69" w:name="_Toc28363"/>
      <w:r>
        <w:rPr>
          <w:rFonts w:ascii="楷体" w:eastAsia="楷体" w:hAnsi="楷体" w:hint="eastAsia"/>
          <w:sz w:val="32"/>
        </w:rPr>
        <w:lastRenderedPageBreak/>
        <w:t>（四）效果</w:t>
      </w:r>
      <w:bookmarkEnd w:id="67"/>
      <w:bookmarkEnd w:id="68"/>
      <w:r>
        <w:rPr>
          <w:rFonts w:ascii="楷体" w:eastAsia="楷体" w:hAnsi="楷体" w:hint="eastAsia"/>
          <w:sz w:val="32"/>
        </w:rPr>
        <w:t>（</w:t>
      </w:r>
      <w:r>
        <w:rPr>
          <w:rFonts w:ascii="楷体" w:eastAsia="楷体" w:hAnsi="楷体" w:hint="eastAsia"/>
          <w:sz w:val="32"/>
        </w:rPr>
        <w:t>15</w:t>
      </w:r>
      <w:r>
        <w:rPr>
          <w:rFonts w:ascii="楷体" w:eastAsia="楷体" w:hAnsi="楷体" w:hint="eastAsia"/>
          <w:sz w:val="32"/>
        </w:rPr>
        <w:t>分）</w:t>
      </w:r>
      <w:bookmarkEnd w:id="69"/>
    </w:p>
    <w:p w:rsidR="00D36435" w:rsidRDefault="00C05A13">
      <w:pPr>
        <w:spacing w:after="0" w:line="360" w:lineRule="auto"/>
        <w:ind w:firstLineChars="200" w:firstLine="640"/>
        <w:jc w:val="both"/>
        <w:textAlignment w:val="baseline"/>
        <w:rPr>
          <w:rFonts w:ascii="仿宋_GB2312" w:eastAsia="仿宋_GB2312" w:cs="DengXian-Regular"/>
          <w:sz w:val="32"/>
          <w:szCs w:val="32"/>
        </w:rPr>
      </w:pPr>
      <w:bookmarkStart w:id="70" w:name="_Toc464638520"/>
      <w:r>
        <w:rPr>
          <w:rFonts w:ascii="仿宋_GB2312" w:eastAsia="仿宋_GB2312" w:cs="DengXian-Regular" w:hint="eastAsia"/>
          <w:sz w:val="32"/>
          <w:szCs w:val="32"/>
        </w:rPr>
        <w:t>该一级指标包含履职效益一个二级指标。主要反映部门履行职责对社会发展所带来的直接或间接效益及社会公众或部门的服务对象对部门履职效果的满意程度。</w:t>
      </w:r>
    </w:p>
    <w:p w:rsidR="00D36435" w:rsidRDefault="00C05A13">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w:t>
      </w:r>
      <w:r>
        <w:rPr>
          <w:rFonts w:asciiTheme="minorEastAsia" w:eastAsiaTheme="minorEastAsia" w:hAnsiTheme="minorEastAsia" w:cstheme="minorEastAsia" w:hint="eastAsia"/>
          <w:b/>
          <w:bCs/>
          <w:sz w:val="32"/>
          <w:szCs w:val="32"/>
        </w:rPr>
        <w:t xml:space="preserve">5  </w:t>
      </w:r>
      <w:r>
        <w:rPr>
          <w:rFonts w:asciiTheme="minorEastAsia" w:eastAsiaTheme="minorEastAsia" w:hAnsiTheme="minorEastAsia" w:cstheme="minorEastAsia" w:hint="eastAsia"/>
          <w:b/>
          <w:bCs/>
          <w:sz w:val="32"/>
          <w:szCs w:val="32"/>
        </w:rPr>
        <w:t>效果指标及得分情况表</w:t>
      </w:r>
    </w:p>
    <w:tbl>
      <w:tblPr>
        <w:tblW w:w="6998" w:type="dxa"/>
        <w:jc w:val="center"/>
        <w:tblLayout w:type="fixed"/>
        <w:tblCellMar>
          <w:top w:w="15" w:type="dxa"/>
          <w:left w:w="15" w:type="dxa"/>
          <w:bottom w:w="15" w:type="dxa"/>
          <w:right w:w="15" w:type="dxa"/>
        </w:tblCellMar>
        <w:tblLook w:val="04A0" w:firstRow="1" w:lastRow="0" w:firstColumn="1" w:lastColumn="0" w:noHBand="0" w:noVBand="1"/>
      </w:tblPr>
      <w:tblGrid>
        <w:gridCol w:w="1468"/>
        <w:gridCol w:w="1155"/>
        <w:gridCol w:w="2130"/>
        <w:gridCol w:w="1200"/>
        <w:gridCol w:w="1045"/>
      </w:tblGrid>
      <w:tr w:rsidR="00D36435">
        <w:trPr>
          <w:trHeight w:hRule="exact" w:val="397"/>
          <w:jc w:val="center"/>
        </w:trPr>
        <w:tc>
          <w:tcPr>
            <w:tcW w:w="1468"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155"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130"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200"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045"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D36435">
        <w:trPr>
          <w:trHeight w:hRule="exact" w:val="397"/>
          <w:jc w:val="center"/>
        </w:trPr>
        <w:tc>
          <w:tcPr>
            <w:tcW w:w="1468" w:type="dxa"/>
            <w:vMerge w:val="restart"/>
            <w:tcBorders>
              <w:top w:val="single" w:sz="4" w:space="0" w:color="000000"/>
              <w:left w:val="single" w:sz="4" w:space="0" w:color="000000"/>
              <w:bottom w:val="single" w:sz="4" w:space="0" w:color="000000"/>
              <w:right w:val="single" w:sz="4" w:space="0" w:color="000000"/>
            </w:tcBorders>
            <w:vAlign w:val="center"/>
          </w:tcPr>
          <w:p w:rsidR="00D36435" w:rsidRDefault="00C05A13">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项目效果</w:t>
            </w:r>
          </w:p>
          <w:p w:rsidR="00D36435" w:rsidRDefault="00C05A13">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15</w:t>
            </w:r>
            <w:r>
              <w:rPr>
                <w:rFonts w:asciiTheme="minorEastAsia" w:eastAsiaTheme="minorEastAsia" w:hAnsiTheme="minorEastAsia" w:cs="宋体" w:hint="eastAsia"/>
                <w:sz w:val="21"/>
                <w:szCs w:val="21"/>
              </w:rPr>
              <w:t>分）</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D36435" w:rsidRDefault="00C05A13">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履职效益</w:t>
            </w:r>
          </w:p>
          <w:p w:rsidR="00D36435" w:rsidRDefault="00C05A13">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15</w:t>
            </w:r>
            <w:r>
              <w:rPr>
                <w:rFonts w:asciiTheme="minorEastAsia" w:eastAsiaTheme="minorEastAsia" w:hAnsiTheme="minorEastAsia" w:cs="宋体" w:hint="eastAsia"/>
                <w:sz w:val="21"/>
                <w:szCs w:val="21"/>
              </w:rPr>
              <w:t>分）</w:t>
            </w:r>
          </w:p>
        </w:tc>
        <w:tc>
          <w:tcPr>
            <w:tcW w:w="2130"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部门整体效益</w:t>
            </w:r>
          </w:p>
        </w:tc>
        <w:tc>
          <w:tcPr>
            <w:tcW w:w="1200"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c>
          <w:tcPr>
            <w:tcW w:w="1045"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p w:rsidR="00D36435" w:rsidRDefault="00D36435">
            <w:pPr>
              <w:spacing w:line="420" w:lineRule="exact"/>
              <w:jc w:val="center"/>
              <w:rPr>
                <w:rFonts w:asciiTheme="minorEastAsia" w:eastAsiaTheme="minorEastAsia" w:hAnsiTheme="minorEastAsia" w:cs="宋体"/>
                <w:sz w:val="21"/>
                <w:szCs w:val="21"/>
              </w:rPr>
            </w:pPr>
          </w:p>
        </w:tc>
      </w:tr>
      <w:tr w:rsidR="00D36435">
        <w:trPr>
          <w:trHeight w:hRule="exact" w:val="397"/>
          <w:jc w:val="center"/>
        </w:trPr>
        <w:tc>
          <w:tcPr>
            <w:tcW w:w="1468" w:type="dxa"/>
            <w:vMerge/>
            <w:tcBorders>
              <w:top w:val="single" w:sz="4" w:space="0" w:color="000000"/>
              <w:left w:val="single" w:sz="4" w:space="0" w:color="000000"/>
              <w:bottom w:val="single" w:sz="4" w:space="0" w:color="000000"/>
              <w:right w:val="single" w:sz="4" w:space="0" w:color="000000"/>
            </w:tcBorders>
            <w:vAlign w:val="center"/>
          </w:tcPr>
          <w:p w:rsidR="00D36435" w:rsidRDefault="00D36435">
            <w:pPr>
              <w:spacing w:line="420" w:lineRule="exact"/>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D36435" w:rsidRDefault="00D36435">
            <w:pPr>
              <w:spacing w:line="420" w:lineRule="exact"/>
              <w:jc w:val="center"/>
              <w:rPr>
                <w:rFonts w:asciiTheme="minorEastAsia" w:eastAsiaTheme="minorEastAsia" w:hAnsiTheme="minorEastAsia" w:cs="宋体"/>
                <w:sz w:val="21"/>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考评满意度</w:t>
            </w:r>
          </w:p>
        </w:tc>
        <w:tc>
          <w:tcPr>
            <w:tcW w:w="1200"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1045"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r>
      <w:tr w:rsidR="00D36435">
        <w:trPr>
          <w:trHeight w:hRule="exact" w:val="397"/>
          <w:jc w:val="center"/>
        </w:trPr>
        <w:tc>
          <w:tcPr>
            <w:tcW w:w="2623" w:type="dxa"/>
            <w:gridSpan w:val="2"/>
            <w:tcBorders>
              <w:top w:val="single" w:sz="4" w:space="0" w:color="000000"/>
              <w:left w:val="single" w:sz="4" w:space="0" w:color="000000"/>
              <w:bottom w:val="single" w:sz="4" w:space="0" w:color="000000"/>
              <w:right w:val="single" w:sz="4" w:space="0" w:color="000000"/>
            </w:tcBorders>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130" w:type="dxa"/>
            <w:tcBorders>
              <w:top w:val="single" w:sz="4" w:space="0" w:color="000000"/>
              <w:left w:val="single" w:sz="4" w:space="0" w:color="000000"/>
              <w:bottom w:val="single" w:sz="4" w:space="0" w:color="000000"/>
              <w:right w:val="single" w:sz="4" w:space="0" w:color="000000"/>
            </w:tcBorders>
            <w:vAlign w:val="center"/>
          </w:tcPr>
          <w:p w:rsidR="00D36435" w:rsidRDefault="00D36435">
            <w:pPr>
              <w:spacing w:line="420" w:lineRule="exact"/>
              <w:jc w:val="center"/>
              <w:rPr>
                <w:rFonts w:asciiTheme="minorEastAsia" w:eastAsiaTheme="minorEastAsia" w:hAnsiTheme="minorEastAsia" w:cs="宋体"/>
                <w:sz w:val="21"/>
                <w:szCs w:val="21"/>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w:t>
            </w:r>
          </w:p>
        </w:tc>
        <w:tc>
          <w:tcPr>
            <w:tcW w:w="1045"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sz w:val="21"/>
                <w:szCs w:val="21"/>
              </w:rPr>
              <w:t>3</w:t>
            </w:r>
          </w:p>
        </w:tc>
      </w:tr>
    </w:tbl>
    <w:p w:rsidR="00D36435" w:rsidRDefault="00C05A13">
      <w:pPr>
        <w:spacing w:after="0" w:line="360" w:lineRule="auto"/>
        <w:ind w:firstLineChars="200" w:firstLine="640"/>
        <w:jc w:val="both"/>
        <w:textAlignment w:val="baseline"/>
        <w:rPr>
          <w:rFonts w:ascii="仿宋_GB2312" w:eastAsia="仿宋_GB2312" w:cs="DengXian-Regular"/>
          <w:sz w:val="32"/>
          <w:szCs w:val="32"/>
        </w:rPr>
      </w:pPr>
      <w:bookmarkStart w:id="71" w:name="_Toc465149516"/>
      <w:bookmarkStart w:id="72" w:name="_Toc492652784"/>
      <w:bookmarkStart w:id="73" w:name="_Toc464638561"/>
      <w:bookmarkEnd w:id="70"/>
      <w:r>
        <w:rPr>
          <w:rFonts w:ascii="仿宋_GB2312" w:eastAsia="仿宋_GB2312" w:cs="DengXian-Regular" w:hint="eastAsia"/>
          <w:sz w:val="32"/>
          <w:szCs w:val="32"/>
        </w:rPr>
        <w:t>1.</w:t>
      </w:r>
      <w:r>
        <w:rPr>
          <w:rFonts w:ascii="仿宋_GB2312" w:eastAsia="仿宋_GB2312" w:cs="DengXian-Regular" w:hint="eastAsia"/>
          <w:sz w:val="32"/>
          <w:szCs w:val="32"/>
        </w:rPr>
        <w:t>部门整体效益（</w:t>
      </w:r>
      <w:r>
        <w:rPr>
          <w:rFonts w:ascii="仿宋_GB2312" w:eastAsia="仿宋_GB2312" w:cs="DengXian-Regular" w:hint="eastAsia"/>
          <w:sz w:val="32"/>
          <w:szCs w:val="32"/>
        </w:rPr>
        <w:t>10</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该指标主要评价部门履行职责对社会发展所带来的直接或间接效益。</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w:t>
      </w:r>
      <w:proofErr w:type="gramStart"/>
      <w:r>
        <w:rPr>
          <w:rFonts w:ascii="仿宋_GB2312" w:eastAsia="仿宋_GB2312" w:cs="DengXian-Regular" w:hint="eastAsia"/>
          <w:sz w:val="32"/>
          <w:szCs w:val="32"/>
        </w:rPr>
        <w:t>查看区</w:t>
      </w:r>
      <w:proofErr w:type="gramEnd"/>
      <w:r>
        <w:rPr>
          <w:rFonts w:ascii="仿宋_GB2312" w:eastAsia="仿宋_GB2312" w:cs="DengXian-Regular" w:hint="eastAsia"/>
          <w:sz w:val="32"/>
          <w:szCs w:val="32"/>
        </w:rPr>
        <w:t>法院提供的相关资</w:t>
      </w:r>
      <w:r>
        <w:rPr>
          <w:rFonts w:ascii="仿宋_GB2312" w:eastAsia="仿宋_GB2312" w:cs="DengXian-Regular" w:hint="eastAsia"/>
          <w:sz w:val="32"/>
          <w:szCs w:val="32"/>
        </w:rPr>
        <w:t>1.</w:t>
      </w:r>
      <w:r>
        <w:rPr>
          <w:rFonts w:ascii="仿宋_GB2312" w:eastAsia="仿宋_GB2312" w:cs="DengXian-Regular" w:hint="eastAsia"/>
          <w:sz w:val="32"/>
          <w:szCs w:val="32"/>
        </w:rPr>
        <w:t>料，区法院履行职责对社会发展所带来的社会效益较显著，有效的提高了社会公众的法律意识，减少了社会不稳定因素。</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10</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考评满意度（</w:t>
      </w:r>
      <w:r>
        <w:rPr>
          <w:rFonts w:ascii="仿宋_GB2312" w:eastAsia="仿宋_GB2312" w:cs="DengXian-Regular" w:hint="eastAsia"/>
          <w:sz w:val="32"/>
          <w:szCs w:val="32"/>
        </w:rPr>
        <w:t>5</w:t>
      </w:r>
      <w:r>
        <w:rPr>
          <w:rFonts w:ascii="仿宋_GB2312" w:eastAsia="仿宋_GB2312" w:cs="DengXian-Regular" w:hint="eastAsia"/>
          <w:sz w:val="32"/>
          <w:szCs w:val="32"/>
        </w:rPr>
        <w:t>分）</w:t>
      </w:r>
    </w:p>
    <w:p w:rsidR="00D36435" w:rsidRDefault="00C05A13">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该指标主要评价社会公众或部门的服务对象对部门履职效果的满意程度。</w:t>
      </w:r>
    </w:p>
    <w:p w:rsidR="00D36435" w:rsidRDefault="00C05A13">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针对该指标，我们随机选取了</w:t>
      </w:r>
      <w:r>
        <w:rPr>
          <w:rFonts w:ascii="仿宋_GB2312" w:eastAsia="仿宋_GB2312" w:hAnsiTheme="minorEastAsia" w:cs="Times New Roman" w:hint="eastAsia"/>
          <w:sz w:val="32"/>
          <w:szCs w:val="32"/>
          <w:u w:color="000000"/>
        </w:rPr>
        <w:t>50</w:t>
      </w:r>
      <w:r>
        <w:rPr>
          <w:rFonts w:ascii="仿宋_GB2312" w:eastAsia="仿宋_GB2312" w:hAnsiTheme="minorEastAsia" w:cs="Times New Roman" w:hint="eastAsia"/>
          <w:sz w:val="32"/>
          <w:szCs w:val="32"/>
          <w:u w:color="000000"/>
        </w:rPr>
        <w:t>个调查对象进行了问卷调查，具体调查情况如下：</w:t>
      </w:r>
    </w:p>
    <w:p w:rsidR="00D36435" w:rsidRDefault="00C05A13">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w:t>
      </w:r>
      <w:r>
        <w:rPr>
          <w:rFonts w:asciiTheme="minorEastAsia" w:eastAsiaTheme="minorEastAsia" w:hAnsiTheme="minorEastAsia" w:cstheme="minorEastAsia" w:hint="eastAsia"/>
          <w:b/>
          <w:bCs/>
          <w:sz w:val="32"/>
          <w:szCs w:val="32"/>
          <w:u w:color="000000"/>
        </w:rPr>
        <w:t xml:space="preserve">6  </w:t>
      </w:r>
      <w:r>
        <w:rPr>
          <w:rFonts w:asciiTheme="minorEastAsia" w:eastAsiaTheme="minorEastAsia" w:hAnsiTheme="minorEastAsia" w:cstheme="minorEastAsia" w:hint="eastAsia"/>
          <w:b/>
          <w:bCs/>
          <w:sz w:val="32"/>
          <w:szCs w:val="32"/>
          <w:u w:color="000000"/>
        </w:rPr>
        <w:t>服务对象满意度调查问卷汇总表</w:t>
      </w:r>
    </w:p>
    <w:p w:rsidR="00D36435" w:rsidRDefault="00C05A13">
      <w:pPr>
        <w:spacing w:after="0" w:line="540" w:lineRule="exact"/>
        <w:ind w:firstLineChars="3300" w:firstLine="6930"/>
        <w:jc w:val="both"/>
        <w:textAlignment w:val="baseline"/>
        <w:rPr>
          <w:rFonts w:ascii="仿宋_GB2312" w:eastAsia="仿宋_GB2312" w:hAnsiTheme="minorEastAsia" w:cs="Times New Roman"/>
          <w:sz w:val="32"/>
          <w:szCs w:val="32"/>
          <w:u w:color="000000"/>
        </w:rPr>
      </w:pPr>
      <w:r>
        <w:rPr>
          <w:rFonts w:asciiTheme="minorEastAsia" w:eastAsiaTheme="minorEastAsia" w:hAnsiTheme="minorEastAsia" w:cstheme="minorEastAsia" w:hint="eastAsia"/>
          <w:sz w:val="21"/>
          <w:szCs w:val="21"/>
          <w:u w:color="000000"/>
        </w:rPr>
        <w:t>单位：人次</w:t>
      </w:r>
    </w:p>
    <w:tbl>
      <w:tblPr>
        <w:tblW w:w="7948" w:type="dxa"/>
        <w:jc w:val="center"/>
        <w:tblLayout w:type="fixed"/>
        <w:tblCellMar>
          <w:top w:w="15" w:type="dxa"/>
          <w:left w:w="15" w:type="dxa"/>
          <w:bottom w:w="15" w:type="dxa"/>
          <w:right w:w="15" w:type="dxa"/>
        </w:tblCellMar>
        <w:tblLook w:val="04A0" w:firstRow="1" w:lastRow="0" w:firstColumn="1" w:lastColumn="0" w:noHBand="0" w:noVBand="1"/>
      </w:tblPr>
      <w:tblGrid>
        <w:gridCol w:w="2834"/>
        <w:gridCol w:w="1114"/>
        <w:gridCol w:w="1134"/>
        <w:gridCol w:w="1218"/>
        <w:gridCol w:w="767"/>
        <w:gridCol w:w="881"/>
      </w:tblGrid>
      <w:tr w:rsidR="00D36435">
        <w:trPr>
          <w:trHeight w:val="525"/>
          <w:jc w:val="center"/>
        </w:trPr>
        <w:tc>
          <w:tcPr>
            <w:tcW w:w="2834" w:type="dxa"/>
            <w:tcBorders>
              <w:top w:val="single" w:sz="4" w:space="0" w:color="auto"/>
              <w:left w:val="single" w:sz="4" w:space="0" w:color="auto"/>
              <w:bottom w:val="single" w:sz="4" w:space="0" w:color="auto"/>
              <w:right w:val="single" w:sz="4" w:space="0" w:color="auto"/>
            </w:tcBorders>
            <w:vAlign w:val="center"/>
          </w:tcPr>
          <w:p w:rsidR="00D36435" w:rsidRDefault="00C05A13">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lastRenderedPageBreak/>
              <w:t>调查项目</w:t>
            </w:r>
          </w:p>
        </w:tc>
        <w:tc>
          <w:tcPr>
            <w:tcW w:w="1114" w:type="dxa"/>
            <w:tcBorders>
              <w:top w:val="single" w:sz="4" w:space="0" w:color="auto"/>
              <w:left w:val="single" w:sz="4" w:space="0" w:color="auto"/>
              <w:bottom w:val="single" w:sz="4" w:space="0" w:color="auto"/>
              <w:right w:val="single" w:sz="4" w:space="0" w:color="auto"/>
            </w:tcBorders>
            <w:vAlign w:val="center"/>
          </w:tcPr>
          <w:p w:rsidR="00D36435" w:rsidRDefault="00C05A13">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满意</w:t>
            </w:r>
          </w:p>
        </w:tc>
        <w:tc>
          <w:tcPr>
            <w:tcW w:w="1134" w:type="dxa"/>
            <w:tcBorders>
              <w:top w:val="single" w:sz="4" w:space="0" w:color="auto"/>
              <w:left w:val="single" w:sz="4" w:space="0" w:color="auto"/>
              <w:bottom w:val="single" w:sz="4" w:space="0" w:color="auto"/>
              <w:right w:val="single" w:sz="4" w:space="0" w:color="auto"/>
            </w:tcBorders>
            <w:vAlign w:val="center"/>
          </w:tcPr>
          <w:p w:rsidR="00D36435" w:rsidRDefault="00C05A13">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一般</w:t>
            </w:r>
          </w:p>
        </w:tc>
        <w:tc>
          <w:tcPr>
            <w:tcW w:w="1218" w:type="dxa"/>
            <w:tcBorders>
              <w:top w:val="single" w:sz="4" w:space="0" w:color="auto"/>
              <w:left w:val="single" w:sz="4" w:space="0" w:color="auto"/>
              <w:bottom w:val="single" w:sz="4" w:space="0" w:color="auto"/>
              <w:right w:val="single" w:sz="4" w:space="0" w:color="auto"/>
            </w:tcBorders>
            <w:vAlign w:val="center"/>
          </w:tcPr>
          <w:p w:rsidR="00D36435" w:rsidRDefault="00C05A13">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不满意</w:t>
            </w:r>
          </w:p>
        </w:tc>
        <w:tc>
          <w:tcPr>
            <w:tcW w:w="767" w:type="dxa"/>
            <w:tcBorders>
              <w:top w:val="single" w:sz="4" w:space="0" w:color="auto"/>
              <w:left w:val="single" w:sz="4" w:space="0" w:color="auto"/>
              <w:bottom w:val="single" w:sz="4" w:space="0" w:color="auto"/>
              <w:right w:val="single" w:sz="4" w:space="0" w:color="auto"/>
            </w:tcBorders>
            <w:vAlign w:val="center"/>
          </w:tcPr>
          <w:p w:rsidR="00D36435" w:rsidRDefault="00C05A13">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合计</w:t>
            </w:r>
          </w:p>
        </w:tc>
        <w:tc>
          <w:tcPr>
            <w:tcW w:w="881" w:type="dxa"/>
            <w:tcBorders>
              <w:top w:val="single" w:sz="4" w:space="0" w:color="auto"/>
              <w:left w:val="single" w:sz="4" w:space="0" w:color="auto"/>
              <w:bottom w:val="single" w:sz="4" w:space="0" w:color="auto"/>
              <w:right w:val="single" w:sz="4" w:space="0" w:color="auto"/>
            </w:tcBorders>
            <w:vAlign w:val="center"/>
          </w:tcPr>
          <w:p w:rsidR="00D36435" w:rsidRDefault="00C05A13">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单项得分</w:t>
            </w:r>
          </w:p>
        </w:tc>
      </w:tr>
      <w:tr w:rsidR="00D36435">
        <w:trPr>
          <w:trHeight w:val="59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某项具体工作</w:t>
            </w:r>
          </w:p>
        </w:tc>
        <w:tc>
          <w:tcPr>
            <w:tcW w:w="1114"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45</w:t>
            </w:r>
          </w:p>
        </w:tc>
        <w:tc>
          <w:tcPr>
            <w:tcW w:w="1134"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w:t>
            </w:r>
          </w:p>
        </w:tc>
        <w:tc>
          <w:tcPr>
            <w:tcW w:w="1218"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95</w:t>
            </w:r>
          </w:p>
        </w:tc>
      </w:tr>
      <w:tr w:rsidR="00D36435">
        <w:trPr>
          <w:trHeight w:val="51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某项具体工作是否满意</w:t>
            </w:r>
          </w:p>
        </w:tc>
        <w:tc>
          <w:tcPr>
            <w:tcW w:w="1114"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42</w:t>
            </w:r>
          </w:p>
        </w:tc>
        <w:tc>
          <w:tcPr>
            <w:tcW w:w="1134"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8</w:t>
            </w:r>
          </w:p>
        </w:tc>
        <w:tc>
          <w:tcPr>
            <w:tcW w:w="1218"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92</w:t>
            </w:r>
          </w:p>
        </w:tc>
      </w:tr>
      <w:tr w:rsidR="00D36435">
        <w:trPr>
          <w:trHeight w:val="585"/>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您对某项具体工作了解程度如何</w:t>
            </w:r>
          </w:p>
        </w:tc>
        <w:tc>
          <w:tcPr>
            <w:tcW w:w="1114"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43</w:t>
            </w:r>
          </w:p>
        </w:tc>
        <w:tc>
          <w:tcPr>
            <w:tcW w:w="1134"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7</w:t>
            </w:r>
          </w:p>
        </w:tc>
        <w:tc>
          <w:tcPr>
            <w:tcW w:w="1218"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D36435" w:rsidRDefault="00C05A1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93</w:t>
            </w:r>
          </w:p>
        </w:tc>
      </w:tr>
    </w:tbl>
    <w:p w:rsidR="00D36435" w:rsidRDefault="00C05A13">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调查问卷共分为</w:t>
      </w:r>
      <w:r>
        <w:rPr>
          <w:rFonts w:ascii="仿宋_GB2312" w:eastAsia="仿宋_GB2312" w:hAnsiTheme="minorEastAsia" w:cs="Times New Roman" w:hint="eastAsia"/>
          <w:sz w:val="32"/>
          <w:szCs w:val="32"/>
          <w:u w:color="000000"/>
        </w:rPr>
        <w:t>3</w:t>
      </w:r>
      <w:r>
        <w:rPr>
          <w:rFonts w:ascii="仿宋_GB2312" w:eastAsia="仿宋_GB2312" w:hAnsiTheme="minorEastAsia" w:cs="Times New Roman" w:hint="eastAsia"/>
          <w:sz w:val="32"/>
          <w:szCs w:val="32"/>
          <w:u w:color="000000"/>
        </w:rPr>
        <w:t>个单项，每个单项满分为</w:t>
      </w:r>
      <w:r>
        <w:rPr>
          <w:rFonts w:ascii="仿宋_GB2312" w:eastAsia="仿宋_GB2312" w:hAnsiTheme="minorEastAsia" w:cs="Times New Roman" w:hint="eastAsia"/>
          <w:sz w:val="32"/>
          <w:szCs w:val="32"/>
          <w:u w:color="000000"/>
        </w:rPr>
        <w:t>100</w:t>
      </w:r>
      <w:r>
        <w:rPr>
          <w:rFonts w:ascii="仿宋_GB2312" w:eastAsia="仿宋_GB2312" w:hAnsiTheme="minorEastAsia" w:cs="Times New Roman" w:hint="eastAsia"/>
          <w:sz w:val="32"/>
          <w:szCs w:val="32"/>
          <w:u w:color="000000"/>
        </w:rPr>
        <w:t>分。其中：每一单项满分为</w:t>
      </w:r>
      <w:r>
        <w:rPr>
          <w:rFonts w:ascii="仿宋_GB2312" w:eastAsia="仿宋_GB2312" w:hAnsiTheme="minorEastAsia" w:cs="Times New Roman" w:hint="eastAsia"/>
          <w:sz w:val="32"/>
          <w:szCs w:val="32"/>
          <w:u w:color="000000"/>
        </w:rPr>
        <w:t>100</w:t>
      </w:r>
      <w:r>
        <w:rPr>
          <w:rFonts w:ascii="仿宋_GB2312" w:eastAsia="仿宋_GB2312" w:hAnsiTheme="minorEastAsia" w:cs="Times New Roman" w:hint="eastAsia"/>
          <w:sz w:val="32"/>
          <w:szCs w:val="32"/>
          <w:u w:color="000000"/>
        </w:rPr>
        <w:t>分：满意为</w:t>
      </w:r>
      <w:r>
        <w:rPr>
          <w:rFonts w:ascii="仿宋_GB2312" w:eastAsia="仿宋_GB2312" w:hAnsiTheme="minorEastAsia" w:cs="Times New Roman" w:hint="eastAsia"/>
          <w:sz w:val="32"/>
          <w:szCs w:val="32"/>
          <w:u w:color="000000"/>
        </w:rPr>
        <w:t>100</w:t>
      </w:r>
      <w:r>
        <w:rPr>
          <w:rFonts w:ascii="仿宋_GB2312" w:eastAsia="仿宋_GB2312" w:hAnsiTheme="minorEastAsia" w:cs="Times New Roman" w:hint="eastAsia"/>
          <w:sz w:val="32"/>
          <w:szCs w:val="32"/>
          <w:u w:color="000000"/>
        </w:rPr>
        <w:t>分，一般为</w:t>
      </w:r>
      <w:r>
        <w:rPr>
          <w:rFonts w:ascii="仿宋_GB2312" w:eastAsia="仿宋_GB2312" w:hAnsiTheme="minorEastAsia" w:cs="Times New Roman" w:hint="eastAsia"/>
          <w:sz w:val="32"/>
          <w:szCs w:val="32"/>
          <w:u w:color="000000"/>
        </w:rPr>
        <w:t>50</w:t>
      </w:r>
      <w:r>
        <w:rPr>
          <w:rFonts w:ascii="仿宋_GB2312" w:eastAsia="仿宋_GB2312" w:hAnsiTheme="minorEastAsia" w:cs="Times New Roman" w:hint="eastAsia"/>
          <w:sz w:val="32"/>
          <w:szCs w:val="32"/>
          <w:u w:color="000000"/>
        </w:rPr>
        <w:t>分，不满意为</w:t>
      </w:r>
      <w:r>
        <w:rPr>
          <w:rFonts w:ascii="仿宋_GB2312" w:eastAsia="仿宋_GB2312" w:hAnsiTheme="minorEastAsia" w:cs="Times New Roman" w:hint="eastAsia"/>
          <w:sz w:val="32"/>
          <w:szCs w:val="32"/>
          <w:u w:color="000000"/>
        </w:rPr>
        <w:t>0</w:t>
      </w:r>
      <w:r>
        <w:rPr>
          <w:rFonts w:ascii="仿宋_GB2312" w:eastAsia="仿宋_GB2312" w:hAnsiTheme="minorEastAsia" w:cs="Times New Roman" w:hint="eastAsia"/>
          <w:sz w:val="32"/>
          <w:szCs w:val="32"/>
          <w:u w:color="000000"/>
        </w:rPr>
        <w:t>分。</w:t>
      </w:r>
    </w:p>
    <w:p w:rsidR="00D36435" w:rsidRDefault="00C05A13">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单项满意度得分</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总分数</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总人数</w:t>
      </w:r>
    </w:p>
    <w:p w:rsidR="00D36435" w:rsidRDefault="00C05A13">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总体满意度得分</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1/3</w:t>
      </w:r>
      <w:proofErr w:type="gramStart"/>
      <w:r>
        <w:rPr>
          <w:rFonts w:ascii="仿宋_GB2312" w:eastAsia="仿宋_GB2312" w:hAnsiTheme="minorEastAsia" w:cs="Times New Roman" w:hint="eastAsia"/>
          <w:sz w:val="32"/>
          <w:szCs w:val="32"/>
          <w:u w:color="000000"/>
        </w:rPr>
        <w:t>各</w:t>
      </w:r>
      <w:proofErr w:type="gramEnd"/>
      <w:r>
        <w:rPr>
          <w:rFonts w:ascii="仿宋_GB2312" w:eastAsia="仿宋_GB2312" w:hAnsiTheme="minorEastAsia" w:cs="Times New Roman" w:hint="eastAsia"/>
          <w:sz w:val="32"/>
          <w:szCs w:val="32"/>
          <w:u w:color="000000"/>
        </w:rPr>
        <w:t>单项满意度得分</w:t>
      </w:r>
    </w:p>
    <w:p w:rsidR="00D36435" w:rsidRDefault="00C05A13">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经计算，总体得分为</w:t>
      </w:r>
      <w:r>
        <w:rPr>
          <w:rFonts w:ascii="仿宋_GB2312" w:eastAsia="仿宋_GB2312" w:hAnsiTheme="minorEastAsia" w:cs="Times New Roman"/>
          <w:sz w:val="32"/>
          <w:szCs w:val="32"/>
          <w:u w:color="000000"/>
        </w:rPr>
        <w:t>93</w:t>
      </w:r>
      <w:r>
        <w:rPr>
          <w:rFonts w:ascii="仿宋_GB2312" w:eastAsia="仿宋_GB2312" w:hAnsiTheme="minorEastAsia" w:cs="Times New Roman" w:hint="eastAsia"/>
          <w:sz w:val="32"/>
          <w:szCs w:val="32"/>
          <w:u w:color="000000"/>
        </w:rPr>
        <w:t>分，小于</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大于）</w:t>
      </w:r>
      <w:r>
        <w:rPr>
          <w:rFonts w:ascii="仿宋_GB2312" w:eastAsia="仿宋_GB2312" w:hAnsiTheme="minorEastAsia" w:cs="Times New Roman" w:hint="eastAsia"/>
          <w:sz w:val="32"/>
          <w:szCs w:val="32"/>
          <w:u w:color="000000"/>
        </w:rPr>
        <w:t>90</w:t>
      </w:r>
      <w:r>
        <w:rPr>
          <w:rFonts w:ascii="仿宋_GB2312" w:eastAsia="仿宋_GB2312" w:hAnsiTheme="minorEastAsia" w:cs="Times New Roman" w:hint="eastAsia"/>
          <w:sz w:val="32"/>
          <w:szCs w:val="32"/>
          <w:u w:color="000000"/>
        </w:rPr>
        <w:t>分，评价等级为“优”。</w:t>
      </w:r>
    </w:p>
    <w:p w:rsidR="00D36435" w:rsidRDefault="00C05A13">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该指标实际得分</w:t>
      </w:r>
      <w:r>
        <w:rPr>
          <w:rFonts w:ascii="仿宋_GB2312" w:eastAsia="仿宋_GB2312" w:hAnsiTheme="minorEastAsia" w:cs="Times New Roman"/>
          <w:sz w:val="32"/>
          <w:szCs w:val="32"/>
          <w:u w:color="000000"/>
        </w:rPr>
        <w:t>3</w:t>
      </w:r>
      <w:r>
        <w:rPr>
          <w:rFonts w:ascii="仿宋_GB2312" w:eastAsia="仿宋_GB2312" w:hAnsiTheme="minorEastAsia" w:cs="Times New Roman" w:hint="eastAsia"/>
          <w:sz w:val="32"/>
          <w:szCs w:val="32"/>
          <w:u w:color="000000"/>
        </w:rPr>
        <w:t>分。</w:t>
      </w:r>
    </w:p>
    <w:p w:rsidR="00D36435" w:rsidRDefault="00C05A13">
      <w:pPr>
        <w:pStyle w:val="2"/>
        <w:keepNext w:val="0"/>
        <w:keepLines w:val="0"/>
        <w:suppressLineNumbers/>
        <w:spacing w:before="0" w:after="0" w:line="360" w:lineRule="auto"/>
        <w:ind w:firstLineChars="200" w:firstLine="643"/>
        <w:rPr>
          <w:rFonts w:ascii="黑体"/>
        </w:rPr>
      </w:pPr>
      <w:bookmarkStart w:id="74" w:name="_Toc13757"/>
      <w:r>
        <w:rPr>
          <w:rFonts w:ascii="黑体" w:hint="eastAsia"/>
        </w:rPr>
        <w:t>五、绩效评价发现的问题</w:t>
      </w:r>
      <w:bookmarkStart w:id="75" w:name="_Toc492652789"/>
      <w:bookmarkEnd w:id="71"/>
      <w:bookmarkEnd w:id="72"/>
      <w:bookmarkEnd w:id="73"/>
      <w:bookmarkEnd w:id="74"/>
    </w:p>
    <w:p w:rsidR="00D36435" w:rsidRDefault="00C05A13">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通过对各指标得分及扣分原因的分析，</w:t>
      </w:r>
      <w:r>
        <w:rPr>
          <w:rFonts w:ascii="仿宋_GB2312" w:eastAsia="仿宋_GB2312" w:cs="DengXian-Regular" w:hint="eastAsia"/>
          <w:sz w:val="32"/>
          <w:szCs w:val="32"/>
        </w:rPr>
        <w:t>区法院</w:t>
      </w:r>
      <w:r>
        <w:rPr>
          <w:rFonts w:ascii="仿宋_GB2312" w:eastAsia="仿宋_GB2312" w:hAnsiTheme="minorEastAsia" w:cs="Times New Roman" w:hint="eastAsia"/>
          <w:sz w:val="32"/>
          <w:szCs w:val="32"/>
          <w:u w:color="000000"/>
        </w:rPr>
        <w:t>2019</w:t>
      </w:r>
      <w:r>
        <w:rPr>
          <w:rFonts w:ascii="仿宋_GB2312" w:eastAsia="仿宋_GB2312" w:hAnsiTheme="minorEastAsia" w:cs="Times New Roman" w:hint="eastAsia"/>
          <w:sz w:val="32"/>
          <w:szCs w:val="32"/>
          <w:u w:color="000000"/>
        </w:rPr>
        <w:t>年部门整体支出基本按相关要求执行预算、决算，完成了绩效目标，资金使用效益良好。通过评价，也发现一些不足之处，具体情况如下：</w:t>
      </w:r>
      <w:bookmarkStart w:id="76" w:name="_Toc20723"/>
    </w:p>
    <w:p w:rsidR="00D36435" w:rsidRDefault="00C05A13">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sz w:val="32"/>
          <w:szCs w:val="32"/>
          <w:u w:color="000000"/>
        </w:rPr>
        <w:t>1</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政府采购方面。</w:t>
      </w:r>
      <w:r>
        <w:rPr>
          <w:rFonts w:ascii="仿宋_GB2312" w:eastAsia="仿宋_GB2312" w:hAnsiTheme="minorEastAsia" w:cs="Times New Roman"/>
          <w:sz w:val="32"/>
          <w:szCs w:val="32"/>
          <w:u w:color="000000"/>
        </w:rPr>
        <w:t>采购手续完整，但采购预算安排数额与实际采购金额存在较大差距，今后应</w:t>
      </w:r>
      <w:r>
        <w:rPr>
          <w:rFonts w:ascii="仿宋_GB2312" w:eastAsia="仿宋_GB2312" w:hAnsiTheme="minorEastAsia" w:cs="Times New Roman" w:hint="eastAsia"/>
          <w:sz w:val="32"/>
          <w:szCs w:val="32"/>
          <w:u w:color="000000"/>
        </w:rPr>
        <w:t>在</w:t>
      </w:r>
      <w:r>
        <w:rPr>
          <w:rFonts w:ascii="仿宋_GB2312" w:eastAsia="仿宋_GB2312" w:hAnsiTheme="minorEastAsia" w:cs="Times New Roman"/>
          <w:sz w:val="32"/>
          <w:szCs w:val="32"/>
          <w:u w:color="000000"/>
        </w:rPr>
        <w:t>采购物资方面进行充足的调研</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sz w:val="32"/>
          <w:szCs w:val="32"/>
          <w:u w:color="000000"/>
        </w:rPr>
        <w:t>合理安排预算</w:t>
      </w:r>
      <w:r>
        <w:rPr>
          <w:rFonts w:ascii="仿宋_GB2312" w:eastAsia="仿宋_GB2312" w:hAnsiTheme="minorEastAsia" w:cs="Times New Roman" w:hint="eastAsia"/>
          <w:sz w:val="32"/>
          <w:szCs w:val="32"/>
          <w:u w:color="000000"/>
        </w:rPr>
        <w:t>资金</w:t>
      </w:r>
      <w:r>
        <w:rPr>
          <w:rFonts w:ascii="仿宋_GB2312" w:eastAsia="仿宋_GB2312" w:hAnsiTheme="minorEastAsia" w:cs="Times New Roman"/>
          <w:sz w:val="32"/>
          <w:szCs w:val="32"/>
          <w:u w:color="000000"/>
        </w:rPr>
        <w:t>。</w:t>
      </w:r>
    </w:p>
    <w:p w:rsidR="00D36435" w:rsidRDefault="00C05A13">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sz w:val="32"/>
          <w:szCs w:val="32"/>
          <w:u w:color="000000"/>
        </w:rPr>
        <w:lastRenderedPageBreak/>
        <w:t>2</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项目资金使用率方面。存在</w:t>
      </w:r>
      <w:r>
        <w:rPr>
          <w:rFonts w:ascii="仿宋_GB2312" w:eastAsia="仿宋_GB2312" w:hAnsiTheme="minorEastAsia" w:cs="Times New Roman"/>
          <w:sz w:val="32"/>
          <w:szCs w:val="32"/>
          <w:u w:color="000000"/>
        </w:rPr>
        <w:t>上级专款资金和</w:t>
      </w:r>
      <w:r>
        <w:rPr>
          <w:rFonts w:ascii="仿宋_GB2312" w:eastAsia="仿宋_GB2312" w:hAnsiTheme="minorEastAsia" w:cs="Times New Roman" w:hint="eastAsia"/>
          <w:sz w:val="32"/>
          <w:szCs w:val="32"/>
          <w:u w:color="000000"/>
        </w:rPr>
        <w:t>部分</w:t>
      </w:r>
      <w:r>
        <w:rPr>
          <w:rFonts w:ascii="仿宋_GB2312" w:eastAsia="仿宋_GB2312" w:hAnsiTheme="minorEastAsia" w:cs="Times New Roman"/>
          <w:sz w:val="32"/>
          <w:szCs w:val="32"/>
          <w:u w:color="000000"/>
        </w:rPr>
        <w:t>本级资金使用率较低的问题，在今后的工作中集思广益、加大支持力度</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sz w:val="32"/>
          <w:szCs w:val="32"/>
          <w:u w:color="000000"/>
        </w:rPr>
        <w:t>提高资金使用率。</w:t>
      </w:r>
    </w:p>
    <w:p w:rsidR="00D36435" w:rsidRDefault="00D36435">
      <w:pPr>
        <w:spacing w:after="0" w:line="360" w:lineRule="auto"/>
        <w:jc w:val="both"/>
        <w:textAlignment w:val="baseline"/>
        <w:rPr>
          <w:rFonts w:ascii="仿宋_GB2312" w:eastAsia="仿宋_GB2312" w:hAnsiTheme="minorEastAsia" w:cs="Times New Roman"/>
          <w:sz w:val="32"/>
          <w:szCs w:val="32"/>
          <w:u w:color="000000"/>
        </w:rPr>
      </w:pPr>
      <w:bookmarkStart w:id="77" w:name="_Toc465149521"/>
      <w:bookmarkEnd w:id="75"/>
      <w:bookmarkEnd w:id="76"/>
    </w:p>
    <w:p w:rsidR="00D36435" w:rsidRDefault="00D36435">
      <w:pPr>
        <w:spacing w:line="540" w:lineRule="exact"/>
        <w:ind w:firstLineChars="200" w:firstLine="640"/>
        <w:jc w:val="both"/>
        <w:textAlignment w:val="baseline"/>
        <w:rPr>
          <w:rFonts w:ascii="仿宋_GB2312" w:eastAsia="仿宋_GB2312" w:hAnsiTheme="minorEastAsia" w:cs="Times New Roman"/>
          <w:sz w:val="32"/>
          <w:szCs w:val="32"/>
          <w:u w:color="000000"/>
        </w:rPr>
      </w:pPr>
      <w:bookmarkStart w:id="78" w:name="_GoBack"/>
      <w:bookmarkEnd w:id="77"/>
      <w:bookmarkEnd w:id="78"/>
    </w:p>
    <w:p w:rsidR="00D36435" w:rsidRDefault="00D36435">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D36435" w:rsidRDefault="00D36435">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D36435" w:rsidRDefault="00D36435">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D36435" w:rsidRDefault="00D36435">
      <w:pPr>
        <w:spacing w:line="540" w:lineRule="exact"/>
        <w:ind w:firstLineChars="200" w:firstLine="640"/>
        <w:jc w:val="both"/>
        <w:textAlignment w:val="baseline"/>
        <w:rPr>
          <w:rFonts w:ascii="仿宋_GB2312" w:eastAsia="仿宋_GB2312" w:hAnsiTheme="minorEastAsia" w:cs="Times New Roman"/>
          <w:sz w:val="32"/>
          <w:szCs w:val="32"/>
          <w:u w:color="000000"/>
        </w:rPr>
      </w:pPr>
    </w:p>
    <w:sectPr w:rsidR="00D36435">
      <w:footerReference w:type="default" r:id="rId11"/>
      <w:pgSz w:w="11906" w:h="16838"/>
      <w:pgMar w:top="1440" w:right="1797" w:bottom="1191"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05A13">
      <w:pPr>
        <w:spacing w:after="0"/>
      </w:pPr>
      <w:r>
        <w:separator/>
      </w:r>
    </w:p>
  </w:endnote>
  <w:endnote w:type="continuationSeparator" w:id="0">
    <w:p w:rsidR="00000000" w:rsidRDefault="00C05A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DengXian-Regular">
    <w:altName w:val="宋体"/>
    <w:charset w:val="86"/>
    <w:family w:val="auto"/>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435" w:rsidRDefault="00D36435">
    <w:pPr>
      <w:pStyle w:val="ad"/>
      <w:jc w:val="center"/>
    </w:pPr>
  </w:p>
  <w:p w:rsidR="00D36435" w:rsidRDefault="00D36435">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435" w:rsidRDefault="00C05A13">
    <w:pPr>
      <w:pStyle w:val="ad"/>
      <w:jc w:val="center"/>
    </w:pPr>
    <w:r>
      <w:fldChar w:fldCharType="begin"/>
    </w:r>
    <w:r>
      <w:instrText xml:space="preserve"> PAGE   \* MERGEFORMAT </w:instrText>
    </w:r>
    <w:r>
      <w:fldChar w:fldCharType="separate"/>
    </w:r>
    <w:r w:rsidRPr="00C05A13">
      <w:rPr>
        <w:noProof/>
        <w:lang w:val="zh-CN"/>
      </w:rPr>
      <w:t>28</w:t>
    </w:r>
    <w:r>
      <w:rPr>
        <w:lang w:val="zh-CN"/>
      </w:rPr>
      <w:fldChar w:fldCharType="end"/>
    </w:r>
  </w:p>
  <w:p w:rsidR="00D36435" w:rsidRDefault="00D36435">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05A13">
      <w:pPr>
        <w:spacing w:after="0"/>
      </w:pPr>
      <w:r>
        <w:separator/>
      </w:r>
    </w:p>
  </w:footnote>
  <w:footnote w:type="continuationSeparator" w:id="0">
    <w:p w:rsidR="00000000" w:rsidRDefault="00C05A1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3FF4"/>
    <w:rsid w:val="00004179"/>
    <w:rsid w:val="0000439F"/>
    <w:rsid w:val="00007CA0"/>
    <w:rsid w:val="00015C39"/>
    <w:rsid w:val="000174D3"/>
    <w:rsid w:val="0002415F"/>
    <w:rsid w:val="00025620"/>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96D"/>
    <w:rsid w:val="00072BF5"/>
    <w:rsid w:val="000752C6"/>
    <w:rsid w:val="00075B78"/>
    <w:rsid w:val="00077648"/>
    <w:rsid w:val="00080E48"/>
    <w:rsid w:val="00091D50"/>
    <w:rsid w:val="000935D5"/>
    <w:rsid w:val="0009618D"/>
    <w:rsid w:val="00096195"/>
    <w:rsid w:val="0009657E"/>
    <w:rsid w:val="0009756F"/>
    <w:rsid w:val="000A1F67"/>
    <w:rsid w:val="000A2079"/>
    <w:rsid w:val="000A5467"/>
    <w:rsid w:val="000B09F3"/>
    <w:rsid w:val="000B0C4A"/>
    <w:rsid w:val="000B23E8"/>
    <w:rsid w:val="000B62FE"/>
    <w:rsid w:val="000B72BC"/>
    <w:rsid w:val="000B78D7"/>
    <w:rsid w:val="000C1EA5"/>
    <w:rsid w:val="000C212B"/>
    <w:rsid w:val="000C52FB"/>
    <w:rsid w:val="000C55E6"/>
    <w:rsid w:val="000C6D5A"/>
    <w:rsid w:val="000D09B2"/>
    <w:rsid w:val="000D5B1D"/>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27481"/>
    <w:rsid w:val="0013591D"/>
    <w:rsid w:val="00141DE8"/>
    <w:rsid w:val="00144105"/>
    <w:rsid w:val="00145B4E"/>
    <w:rsid w:val="00145FCF"/>
    <w:rsid w:val="001476AA"/>
    <w:rsid w:val="001526A5"/>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1495"/>
    <w:rsid w:val="001D5041"/>
    <w:rsid w:val="001D5A7C"/>
    <w:rsid w:val="001D76AA"/>
    <w:rsid w:val="001E21EA"/>
    <w:rsid w:val="001E288A"/>
    <w:rsid w:val="001E3ABB"/>
    <w:rsid w:val="001E4C24"/>
    <w:rsid w:val="001E5C43"/>
    <w:rsid w:val="001F07B6"/>
    <w:rsid w:val="001F0B92"/>
    <w:rsid w:val="001F0C37"/>
    <w:rsid w:val="001F1094"/>
    <w:rsid w:val="001F2F0E"/>
    <w:rsid w:val="001F33AA"/>
    <w:rsid w:val="001F536D"/>
    <w:rsid w:val="001F6236"/>
    <w:rsid w:val="00200051"/>
    <w:rsid w:val="00202D5A"/>
    <w:rsid w:val="00205F02"/>
    <w:rsid w:val="0021307B"/>
    <w:rsid w:val="002142B8"/>
    <w:rsid w:val="002161F4"/>
    <w:rsid w:val="00216E75"/>
    <w:rsid w:val="00221907"/>
    <w:rsid w:val="00222FA8"/>
    <w:rsid w:val="0022532A"/>
    <w:rsid w:val="00227AFB"/>
    <w:rsid w:val="00230747"/>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361E"/>
    <w:rsid w:val="002C5A65"/>
    <w:rsid w:val="002C71F3"/>
    <w:rsid w:val="002D2112"/>
    <w:rsid w:val="002D53D7"/>
    <w:rsid w:val="002D5508"/>
    <w:rsid w:val="002D5FC1"/>
    <w:rsid w:val="002D7AB3"/>
    <w:rsid w:val="002E1D3C"/>
    <w:rsid w:val="002E1F73"/>
    <w:rsid w:val="002E269D"/>
    <w:rsid w:val="002E3460"/>
    <w:rsid w:val="002E70AE"/>
    <w:rsid w:val="002F0C41"/>
    <w:rsid w:val="002F0EC3"/>
    <w:rsid w:val="002F5B6A"/>
    <w:rsid w:val="002F5BF5"/>
    <w:rsid w:val="002F5ECA"/>
    <w:rsid w:val="00305014"/>
    <w:rsid w:val="00306572"/>
    <w:rsid w:val="003079C7"/>
    <w:rsid w:val="00310542"/>
    <w:rsid w:val="003128BD"/>
    <w:rsid w:val="003169F3"/>
    <w:rsid w:val="0032078D"/>
    <w:rsid w:val="00321CE0"/>
    <w:rsid w:val="0032231F"/>
    <w:rsid w:val="00323219"/>
    <w:rsid w:val="00323B43"/>
    <w:rsid w:val="00325BCC"/>
    <w:rsid w:val="003309A3"/>
    <w:rsid w:val="003345BC"/>
    <w:rsid w:val="00337651"/>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0DA8"/>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1104"/>
    <w:rsid w:val="00412A31"/>
    <w:rsid w:val="004200B9"/>
    <w:rsid w:val="00426133"/>
    <w:rsid w:val="004300B1"/>
    <w:rsid w:val="00430AF8"/>
    <w:rsid w:val="0043148F"/>
    <w:rsid w:val="0043299E"/>
    <w:rsid w:val="0043354D"/>
    <w:rsid w:val="00434EB0"/>
    <w:rsid w:val="004358AB"/>
    <w:rsid w:val="00435DA7"/>
    <w:rsid w:val="004370A2"/>
    <w:rsid w:val="00445C28"/>
    <w:rsid w:val="00445DA0"/>
    <w:rsid w:val="0044653D"/>
    <w:rsid w:val="004468B5"/>
    <w:rsid w:val="00451E9F"/>
    <w:rsid w:val="004551F1"/>
    <w:rsid w:val="00456648"/>
    <w:rsid w:val="00457E00"/>
    <w:rsid w:val="00461E7C"/>
    <w:rsid w:val="004639E0"/>
    <w:rsid w:val="00463A6D"/>
    <w:rsid w:val="00465A21"/>
    <w:rsid w:val="0047047F"/>
    <w:rsid w:val="00472C49"/>
    <w:rsid w:val="0047484C"/>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7DF"/>
    <w:rsid w:val="00564377"/>
    <w:rsid w:val="00564538"/>
    <w:rsid w:val="00566A89"/>
    <w:rsid w:val="00567E07"/>
    <w:rsid w:val="005771F7"/>
    <w:rsid w:val="00577B7B"/>
    <w:rsid w:val="00583F7F"/>
    <w:rsid w:val="0058600B"/>
    <w:rsid w:val="00587913"/>
    <w:rsid w:val="005902D3"/>
    <w:rsid w:val="00593428"/>
    <w:rsid w:val="00593B65"/>
    <w:rsid w:val="005A15D6"/>
    <w:rsid w:val="005A1FD8"/>
    <w:rsid w:val="005A317D"/>
    <w:rsid w:val="005A79F9"/>
    <w:rsid w:val="005B1F5D"/>
    <w:rsid w:val="005C3594"/>
    <w:rsid w:val="005C46B7"/>
    <w:rsid w:val="005C7C8B"/>
    <w:rsid w:val="005D5617"/>
    <w:rsid w:val="005D635D"/>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27EFA"/>
    <w:rsid w:val="00630B86"/>
    <w:rsid w:val="00630F5B"/>
    <w:rsid w:val="00634C66"/>
    <w:rsid w:val="006352D1"/>
    <w:rsid w:val="00636E1A"/>
    <w:rsid w:val="006375DC"/>
    <w:rsid w:val="006410F6"/>
    <w:rsid w:val="00642BA5"/>
    <w:rsid w:val="006434E0"/>
    <w:rsid w:val="00650C90"/>
    <w:rsid w:val="0065172D"/>
    <w:rsid w:val="0065287D"/>
    <w:rsid w:val="0065671B"/>
    <w:rsid w:val="00656A5A"/>
    <w:rsid w:val="00663A42"/>
    <w:rsid w:val="0066418E"/>
    <w:rsid w:val="0066469F"/>
    <w:rsid w:val="0067780F"/>
    <w:rsid w:val="00686589"/>
    <w:rsid w:val="00686C30"/>
    <w:rsid w:val="00690FA3"/>
    <w:rsid w:val="0069331D"/>
    <w:rsid w:val="00696DF8"/>
    <w:rsid w:val="0069783E"/>
    <w:rsid w:val="00697E26"/>
    <w:rsid w:val="006A0330"/>
    <w:rsid w:val="006A3AE1"/>
    <w:rsid w:val="006A3B57"/>
    <w:rsid w:val="006A6AB2"/>
    <w:rsid w:val="006B117D"/>
    <w:rsid w:val="006B19B7"/>
    <w:rsid w:val="006B392C"/>
    <w:rsid w:val="006B4709"/>
    <w:rsid w:val="006B4CC0"/>
    <w:rsid w:val="006B65B0"/>
    <w:rsid w:val="006C5198"/>
    <w:rsid w:val="006C6A07"/>
    <w:rsid w:val="006E0A3D"/>
    <w:rsid w:val="006E27F1"/>
    <w:rsid w:val="006E56E7"/>
    <w:rsid w:val="006E5BC8"/>
    <w:rsid w:val="006E7CBA"/>
    <w:rsid w:val="006F222F"/>
    <w:rsid w:val="006F7B69"/>
    <w:rsid w:val="0070241F"/>
    <w:rsid w:val="007024A9"/>
    <w:rsid w:val="00703C96"/>
    <w:rsid w:val="007130D7"/>
    <w:rsid w:val="00713E98"/>
    <w:rsid w:val="00715591"/>
    <w:rsid w:val="00715AE8"/>
    <w:rsid w:val="0072516F"/>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645E"/>
    <w:rsid w:val="00787F88"/>
    <w:rsid w:val="0079721A"/>
    <w:rsid w:val="007A095C"/>
    <w:rsid w:val="007A0AF8"/>
    <w:rsid w:val="007A283A"/>
    <w:rsid w:val="007A65C8"/>
    <w:rsid w:val="007A6B16"/>
    <w:rsid w:val="007A7AC4"/>
    <w:rsid w:val="007A7EA1"/>
    <w:rsid w:val="007B639C"/>
    <w:rsid w:val="007B7036"/>
    <w:rsid w:val="007C0870"/>
    <w:rsid w:val="007C2D10"/>
    <w:rsid w:val="007C457D"/>
    <w:rsid w:val="007D02A9"/>
    <w:rsid w:val="007D166D"/>
    <w:rsid w:val="007D17C7"/>
    <w:rsid w:val="007D2766"/>
    <w:rsid w:val="007D2FF7"/>
    <w:rsid w:val="007D74D8"/>
    <w:rsid w:val="007E13A4"/>
    <w:rsid w:val="007E2034"/>
    <w:rsid w:val="007E20CA"/>
    <w:rsid w:val="007E3988"/>
    <w:rsid w:val="007E4698"/>
    <w:rsid w:val="007E6959"/>
    <w:rsid w:val="007E6991"/>
    <w:rsid w:val="007E7A36"/>
    <w:rsid w:val="007F222D"/>
    <w:rsid w:val="007F3FB7"/>
    <w:rsid w:val="007F46D6"/>
    <w:rsid w:val="007F518D"/>
    <w:rsid w:val="007F68FE"/>
    <w:rsid w:val="007F7E7E"/>
    <w:rsid w:val="00803C29"/>
    <w:rsid w:val="00804E5E"/>
    <w:rsid w:val="00804FAA"/>
    <w:rsid w:val="00805678"/>
    <w:rsid w:val="00805A5D"/>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3D45"/>
    <w:rsid w:val="008541B8"/>
    <w:rsid w:val="00857249"/>
    <w:rsid w:val="00861067"/>
    <w:rsid w:val="00862AE2"/>
    <w:rsid w:val="00862C25"/>
    <w:rsid w:val="00863CA2"/>
    <w:rsid w:val="00863EF2"/>
    <w:rsid w:val="00864A80"/>
    <w:rsid w:val="008655ED"/>
    <w:rsid w:val="00866942"/>
    <w:rsid w:val="00871B0D"/>
    <w:rsid w:val="00871B14"/>
    <w:rsid w:val="0087359B"/>
    <w:rsid w:val="008735A1"/>
    <w:rsid w:val="00875962"/>
    <w:rsid w:val="008771DA"/>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3AAF"/>
    <w:rsid w:val="008C443B"/>
    <w:rsid w:val="008C538A"/>
    <w:rsid w:val="008D0618"/>
    <w:rsid w:val="008D14CF"/>
    <w:rsid w:val="008D1AEB"/>
    <w:rsid w:val="008D1E23"/>
    <w:rsid w:val="008D2A7C"/>
    <w:rsid w:val="008D3031"/>
    <w:rsid w:val="008D4F00"/>
    <w:rsid w:val="008D7DBC"/>
    <w:rsid w:val="008E08B2"/>
    <w:rsid w:val="008E0AFC"/>
    <w:rsid w:val="008E1E43"/>
    <w:rsid w:val="008E3116"/>
    <w:rsid w:val="008E3D81"/>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670F6"/>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2BB2"/>
    <w:rsid w:val="009A37AE"/>
    <w:rsid w:val="009A4059"/>
    <w:rsid w:val="009A47EF"/>
    <w:rsid w:val="009B1979"/>
    <w:rsid w:val="009B1E1B"/>
    <w:rsid w:val="009B2CC0"/>
    <w:rsid w:val="009B4C38"/>
    <w:rsid w:val="009C0DAB"/>
    <w:rsid w:val="009C1E20"/>
    <w:rsid w:val="009D0378"/>
    <w:rsid w:val="009D0F18"/>
    <w:rsid w:val="009D1EFB"/>
    <w:rsid w:val="009D43F2"/>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12D9"/>
    <w:rsid w:val="00AA2033"/>
    <w:rsid w:val="00AA4A07"/>
    <w:rsid w:val="00AA6230"/>
    <w:rsid w:val="00AB632D"/>
    <w:rsid w:val="00AC5444"/>
    <w:rsid w:val="00AC70E1"/>
    <w:rsid w:val="00AD1D29"/>
    <w:rsid w:val="00AD328E"/>
    <w:rsid w:val="00AD5147"/>
    <w:rsid w:val="00AE0837"/>
    <w:rsid w:val="00AE11C8"/>
    <w:rsid w:val="00AE297E"/>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4A7"/>
    <w:rsid w:val="00B34A43"/>
    <w:rsid w:val="00B35495"/>
    <w:rsid w:val="00B363FC"/>
    <w:rsid w:val="00B36912"/>
    <w:rsid w:val="00B404A0"/>
    <w:rsid w:val="00B4256A"/>
    <w:rsid w:val="00B432AB"/>
    <w:rsid w:val="00B54D75"/>
    <w:rsid w:val="00B60C2A"/>
    <w:rsid w:val="00B65FC0"/>
    <w:rsid w:val="00B707DD"/>
    <w:rsid w:val="00B719F4"/>
    <w:rsid w:val="00B73995"/>
    <w:rsid w:val="00B74DBC"/>
    <w:rsid w:val="00B74FEB"/>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4C84"/>
    <w:rsid w:val="00BA5B4F"/>
    <w:rsid w:val="00BB3F94"/>
    <w:rsid w:val="00BC09FC"/>
    <w:rsid w:val="00BC0DD5"/>
    <w:rsid w:val="00BC60E6"/>
    <w:rsid w:val="00BE66AA"/>
    <w:rsid w:val="00BE73B9"/>
    <w:rsid w:val="00BF444F"/>
    <w:rsid w:val="00BF77F5"/>
    <w:rsid w:val="00C01D8A"/>
    <w:rsid w:val="00C023EF"/>
    <w:rsid w:val="00C05A13"/>
    <w:rsid w:val="00C06B7E"/>
    <w:rsid w:val="00C15415"/>
    <w:rsid w:val="00C16FE4"/>
    <w:rsid w:val="00C172EB"/>
    <w:rsid w:val="00C22F98"/>
    <w:rsid w:val="00C2363B"/>
    <w:rsid w:val="00C263B6"/>
    <w:rsid w:val="00C26560"/>
    <w:rsid w:val="00C3062F"/>
    <w:rsid w:val="00C32E7A"/>
    <w:rsid w:val="00C408D9"/>
    <w:rsid w:val="00C42DB9"/>
    <w:rsid w:val="00C447FD"/>
    <w:rsid w:val="00C448AF"/>
    <w:rsid w:val="00C44B90"/>
    <w:rsid w:val="00C51434"/>
    <w:rsid w:val="00C51743"/>
    <w:rsid w:val="00C51A61"/>
    <w:rsid w:val="00C57393"/>
    <w:rsid w:val="00C64C71"/>
    <w:rsid w:val="00C6528B"/>
    <w:rsid w:val="00C661B3"/>
    <w:rsid w:val="00C662FF"/>
    <w:rsid w:val="00C70300"/>
    <w:rsid w:val="00C7037D"/>
    <w:rsid w:val="00C70637"/>
    <w:rsid w:val="00C71DC8"/>
    <w:rsid w:val="00C73E69"/>
    <w:rsid w:val="00C74592"/>
    <w:rsid w:val="00C75C0C"/>
    <w:rsid w:val="00C767BA"/>
    <w:rsid w:val="00C8048C"/>
    <w:rsid w:val="00C80C68"/>
    <w:rsid w:val="00C86E9A"/>
    <w:rsid w:val="00C93A3D"/>
    <w:rsid w:val="00C94F0A"/>
    <w:rsid w:val="00CA3142"/>
    <w:rsid w:val="00CA3203"/>
    <w:rsid w:val="00CA6058"/>
    <w:rsid w:val="00CA6BD1"/>
    <w:rsid w:val="00CB0358"/>
    <w:rsid w:val="00CB1B1B"/>
    <w:rsid w:val="00CB3E03"/>
    <w:rsid w:val="00CB580D"/>
    <w:rsid w:val="00CB6098"/>
    <w:rsid w:val="00CB623E"/>
    <w:rsid w:val="00CB7D54"/>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9D9"/>
    <w:rsid w:val="00D14E66"/>
    <w:rsid w:val="00D17631"/>
    <w:rsid w:val="00D17CD3"/>
    <w:rsid w:val="00D21B22"/>
    <w:rsid w:val="00D24AEB"/>
    <w:rsid w:val="00D24AFD"/>
    <w:rsid w:val="00D27902"/>
    <w:rsid w:val="00D27984"/>
    <w:rsid w:val="00D3070F"/>
    <w:rsid w:val="00D31D50"/>
    <w:rsid w:val="00D323E9"/>
    <w:rsid w:val="00D34F5B"/>
    <w:rsid w:val="00D35023"/>
    <w:rsid w:val="00D36435"/>
    <w:rsid w:val="00D3651A"/>
    <w:rsid w:val="00D403B8"/>
    <w:rsid w:val="00D45C1B"/>
    <w:rsid w:val="00D45E14"/>
    <w:rsid w:val="00D51C9A"/>
    <w:rsid w:val="00D5318C"/>
    <w:rsid w:val="00D53371"/>
    <w:rsid w:val="00D53BD5"/>
    <w:rsid w:val="00D55621"/>
    <w:rsid w:val="00D6000E"/>
    <w:rsid w:val="00D606A0"/>
    <w:rsid w:val="00D713D6"/>
    <w:rsid w:val="00D72DAF"/>
    <w:rsid w:val="00D75BB9"/>
    <w:rsid w:val="00D76276"/>
    <w:rsid w:val="00D77919"/>
    <w:rsid w:val="00D8083C"/>
    <w:rsid w:val="00D85F8D"/>
    <w:rsid w:val="00D87F81"/>
    <w:rsid w:val="00D90E39"/>
    <w:rsid w:val="00D97E89"/>
    <w:rsid w:val="00DA275C"/>
    <w:rsid w:val="00DA45EE"/>
    <w:rsid w:val="00DA58A3"/>
    <w:rsid w:val="00DB2F5B"/>
    <w:rsid w:val="00DB46CB"/>
    <w:rsid w:val="00DB5B24"/>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162A"/>
    <w:rsid w:val="00DE42BF"/>
    <w:rsid w:val="00DE4A1A"/>
    <w:rsid w:val="00DE4E11"/>
    <w:rsid w:val="00DE53FE"/>
    <w:rsid w:val="00DE6ED8"/>
    <w:rsid w:val="00E00A5F"/>
    <w:rsid w:val="00E05D64"/>
    <w:rsid w:val="00E07ABB"/>
    <w:rsid w:val="00E07D8F"/>
    <w:rsid w:val="00E13762"/>
    <w:rsid w:val="00E141B6"/>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0558"/>
    <w:rsid w:val="00E65332"/>
    <w:rsid w:val="00E65F77"/>
    <w:rsid w:val="00E670CD"/>
    <w:rsid w:val="00E67EA9"/>
    <w:rsid w:val="00E75FAC"/>
    <w:rsid w:val="00E7727F"/>
    <w:rsid w:val="00E83519"/>
    <w:rsid w:val="00E90CC4"/>
    <w:rsid w:val="00E91889"/>
    <w:rsid w:val="00E91F0F"/>
    <w:rsid w:val="00E944E2"/>
    <w:rsid w:val="00E9528D"/>
    <w:rsid w:val="00E95C54"/>
    <w:rsid w:val="00E96103"/>
    <w:rsid w:val="00EA027D"/>
    <w:rsid w:val="00EB22CF"/>
    <w:rsid w:val="00EB3414"/>
    <w:rsid w:val="00EB39DD"/>
    <w:rsid w:val="00EB40E4"/>
    <w:rsid w:val="00EB67BA"/>
    <w:rsid w:val="00EC16F8"/>
    <w:rsid w:val="00EC306F"/>
    <w:rsid w:val="00EC408E"/>
    <w:rsid w:val="00EC41F2"/>
    <w:rsid w:val="00EC4EB3"/>
    <w:rsid w:val="00EC5617"/>
    <w:rsid w:val="00EC7C9E"/>
    <w:rsid w:val="00ED230D"/>
    <w:rsid w:val="00ED2440"/>
    <w:rsid w:val="00EE1C0B"/>
    <w:rsid w:val="00EE59D0"/>
    <w:rsid w:val="00EE7FF3"/>
    <w:rsid w:val="00EF26BF"/>
    <w:rsid w:val="00EF4861"/>
    <w:rsid w:val="00EF4C32"/>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30A9"/>
    <w:rsid w:val="00F94F61"/>
    <w:rsid w:val="00F967AA"/>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5847"/>
    <w:rsid w:val="00FD61E0"/>
    <w:rsid w:val="00FD63D3"/>
    <w:rsid w:val="00FD717D"/>
    <w:rsid w:val="00FD7F96"/>
    <w:rsid w:val="00FE44CF"/>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4B2B9D"/>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1C27D4F"/>
    <w:rsid w:val="425C64FC"/>
    <w:rsid w:val="4278675D"/>
    <w:rsid w:val="431F105C"/>
    <w:rsid w:val="43F003B4"/>
    <w:rsid w:val="446458DA"/>
    <w:rsid w:val="446645C4"/>
    <w:rsid w:val="44E00C2F"/>
    <w:rsid w:val="44F12828"/>
    <w:rsid w:val="453F4EE8"/>
    <w:rsid w:val="457E0C0E"/>
    <w:rsid w:val="45A27895"/>
    <w:rsid w:val="4654463C"/>
    <w:rsid w:val="469D1E1F"/>
    <w:rsid w:val="46E731A9"/>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B641AE"/>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7DF6C9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4D00A4"/>
    <w:rsid w:val="7E51328E"/>
    <w:rsid w:val="7F14576E"/>
    <w:rsid w:val="7FB73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4B08708"/>
  <w15:docId w15:val="{A63BED79-91B1-47D8-BB43-4419EF64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0"/>
    <w:uiPriority w:val="99"/>
    <w:qFormat/>
    <w:pPr>
      <w:keepNext/>
      <w:keepLines/>
      <w:adjustRightInd/>
      <w:snapToGrid/>
      <w:spacing w:before="200" w:line="360" w:lineRule="auto"/>
      <w:jc w:val="center"/>
      <w:textAlignment w:val="baseline"/>
      <w:outlineLvl w:val="0"/>
    </w:pPr>
    <w:rPr>
      <w:rFonts w:ascii="Times New Roman" w:eastAsia="黑体" w:hAnsi="Times New Roman" w:cs="Times New Roman"/>
      <w:b/>
      <w:bCs/>
      <w:color w:val="000000"/>
      <w:kern w:val="44"/>
      <w:sz w:val="36"/>
      <w:szCs w:val="44"/>
      <w:u w:color="000000"/>
    </w:rPr>
  </w:style>
  <w:style w:type="paragraph" w:styleId="2">
    <w:name w:val="heading 2"/>
    <w:basedOn w:val="a"/>
    <w:next w:val="a"/>
    <w:link w:val="20"/>
    <w:uiPriority w:val="99"/>
    <w:qFormat/>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
    <w:next w:val="a"/>
    <w:link w:val="30"/>
    <w:uiPriority w:val="99"/>
    <w:qFormat/>
    <w:pPr>
      <w:keepNext/>
      <w:keepLines/>
      <w:adjustRightInd/>
      <w:snapToGrid/>
      <w:spacing w:before="260" w:after="260" w:line="360" w:lineRule="auto"/>
      <w:textAlignment w:val="baseline"/>
      <w:outlineLvl w:val="2"/>
    </w:pPr>
    <w:rPr>
      <w:rFonts w:ascii="Times New Roman" w:eastAsia="仿宋_GB2312" w:hAnsi="Times New Roman" w:cs="Times New Roman"/>
      <w:b/>
      <w:bCs/>
      <w:sz w:val="30"/>
      <w:szCs w:val="32"/>
      <w:u w:color="000000"/>
    </w:rPr>
  </w:style>
  <w:style w:type="paragraph" w:styleId="4">
    <w:name w:val="heading 4"/>
    <w:basedOn w:val="a"/>
    <w:next w:val="a"/>
    <w:link w:val="40"/>
    <w:unhideWhenUsed/>
    <w:qFormat/>
    <w:pPr>
      <w:keepNext/>
      <w:keepLines/>
      <w:widowControl w:val="0"/>
      <w:adjustRightInd/>
      <w:snapToGrid/>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
    <w:next w:val="a"/>
    <w:link w:val="50"/>
    <w:unhideWhenUsed/>
    <w:qFormat/>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
    <w:next w:val="a"/>
    <w:link w:val="60"/>
    <w:unhideWhenUsed/>
    <w:qFormat/>
    <w:pPr>
      <w:keepNext/>
      <w:keepLines/>
      <w:widowControl w:val="0"/>
      <w:adjustRightInd/>
      <w:snapToGrid/>
      <w:spacing w:before="240" w:after="64" w:line="320" w:lineRule="auto"/>
      <w:jc w:val="both"/>
      <w:outlineLvl w:val="5"/>
    </w:pPr>
    <w:rPr>
      <w:rFonts w:asciiTheme="majorHAnsi" w:eastAsiaTheme="majorEastAsia" w:hAnsiTheme="majorHAnsi" w:cstheme="majorBidi"/>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qFormat/>
    <w:pPr>
      <w:widowControl w:val="0"/>
      <w:shd w:val="clear" w:color="auto" w:fill="000080"/>
      <w:adjustRightInd/>
      <w:snapToGrid/>
      <w:spacing w:after="0"/>
      <w:jc w:val="both"/>
    </w:pPr>
    <w:rPr>
      <w:rFonts w:ascii="Times New Roman" w:eastAsia="宋体" w:hAnsi="Times New Roman" w:cs="Times New Roman"/>
      <w:kern w:val="2"/>
      <w:sz w:val="21"/>
      <w:szCs w:val="24"/>
    </w:rPr>
  </w:style>
  <w:style w:type="paragraph" w:styleId="a5">
    <w:name w:val="annotation text"/>
    <w:basedOn w:val="a"/>
    <w:link w:val="a6"/>
    <w:uiPriority w:val="99"/>
    <w:unhideWhenUsed/>
    <w:qFormat/>
  </w:style>
  <w:style w:type="paragraph" w:styleId="a7">
    <w:name w:val="Body Text"/>
    <w:basedOn w:val="a"/>
    <w:link w:val="a8"/>
    <w:uiPriority w:val="99"/>
    <w:qFormat/>
    <w:pPr>
      <w:widowControl w:val="0"/>
      <w:adjustRightInd/>
      <w:snapToGrid/>
      <w:spacing w:after="120"/>
      <w:jc w:val="both"/>
    </w:pPr>
    <w:rPr>
      <w:rFonts w:ascii="Times New Roman" w:eastAsia="宋体" w:hAnsi="Times New Roman" w:cs="Times New Roman"/>
      <w:kern w:val="2"/>
      <w:sz w:val="21"/>
      <w:szCs w:val="24"/>
    </w:rPr>
  </w:style>
  <w:style w:type="paragraph" w:styleId="31">
    <w:name w:val="toc 3"/>
    <w:basedOn w:val="a"/>
    <w:next w:val="a"/>
    <w:uiPriority w:val="39"/>
    <w:qFormat/>
    <w:pPr>
      <w:widowControl w:val="0"/>
      <w:adjustRightInd/>
      <w:snapToGrid/>
      <w:spacing w:after="0"/>
      <w:ind w:leftChars="400" w:left="840"/>
      <w:jc w:val="both"/>
    </w:pPr>
    <w:rPr>
      <w:rFonts w:ascii="Times New Roman" w:eastAsia="宋体" w:hAnsi="Times New Roman" w:cs="Times New Roman"/>
      <w:kern w:val="2"/>
      <w:sz w:val="28"/>
      <w:szCs w:val="24"/>
    </w:rPr>
  </w:style>
  <w:style w:type="paragraph" w:styleId="a9">
    <w:name w:val="Plain Text"/>
    <w:basedOn w:val="a"/>
    <w:link w:val="aa"/>
    <w:uiPriority w:val="99"/>
    <w:qFormat/>
    <w:pPr>
      <w:adjustRightInd/>
      <w:snapToGrid/>
      <w:spacing w:after="0" w:line="351" w:lineRule="atLeast"/>
      <w:ind w:firstLine="419"/>
      <w:jc w:val="both"/>
      <w:textAlignment w:val="baseline"/>
    </w:pPr>
    <w:rPr>
      <w:rFonts w:ascii="宋体" w:eastAsia="宋体" w:hAnsi="Times New Roman" w:cs="Times New Roman"/>
      <w:color w:val="000000"/>
      <w:sz w:val="21"/>
      <w:szCs w:val="20"/>
      <w:u w:color="000000"/>
    </w:rPr>
  </w:style>
  <w:style w:type="paragraph" w:styleId="ab">
    <w:name w:val="Balloon Text"/>
    <w:basedOn w:val="a"/>
    <w:link w:val="ac"/>
    <w:uiPriority w:val="99"/>
    <w:qFormat/>
    <w:pPr>
      <w:widowControl w:val="0"/>
      <w:adjustRightInd/>
      <w:snapToGrid/>
      <w:spacing w:after="0"/>
      <w:jc w:val="both"/>
    </w:pPr>
    <w:rPr>
      <w:rFonts w:ascii="Times New Roman" w:eastAsia="宋体" w:hAnsi="Times New Roman" w:cs="Times New Roman"/>
      <w:kern w:val="2"/>
      <w:sz w:val="18"/>
      <w:szCs w:val="18"/>
    </w:rPr>
  </w:style>
  <w:style w:type="paragraph" w:styleId="ad">
    <w:name w:val="footer"/>
    <w:basedOn w:val="a"/>
    <w:link w:val="ae"/>
    <w:uiPriority w:val="99"/>
    <w:unhideWhenUsed/>
    <w:qFormat/>
    <w:pPr>
      <w:tabs>
        <w:tab w:val="center" w:pos="4153"/>
        <w:tab w:val="right" w:pos="8306"/>
      </w:tabs>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jc w:val="center"/>
    </w:pPr>
    <w:rPr>
      <w:sz w:val="18"/>
      <w:szCs w:val="18"/>
    </w:rPr>
  </w:style>
  <w:style w:type="paragraph" w:styleId="11">
    <w:name w:val="toc 1"/>
    <w:basedOn w:val="a"/>
    <w:next w:val="a"/>
    <w:uiPriority w:val="39"/>
    <w:qFormat/>
    <w:pPr>
      <w:widowControl w:val="0"/>
      <w:tabs>
        <w:tab w:val="right" w:leader="dot" w:pos="8777"/>
      </w:tabs>
      <w:adjustRightInd/>
      <w:snapToGrid/>
      <w:spacing w:after="0" w:line="360" w:lineRule="auto"/>
      <w:jc w:val="both"/>
    </w:pPr>
    <w:rPr>
      <w:rFonts w:ascii="Times New Roman" w:eastAsia="黑体" w:hAnsi="Times New Roman" w:cs="Times New Roman"/>
      <w:kern w:val="2"/>
      <w:sz w:val="32"/>
      <w:szCs w:val="32"/>
    </w:rPr>
  </w:style>
  <w:style w:type="paragraph" w:styleId="af1">
    <w:name w:val="footnote text"/>
    <w:basedOn w:val="a"/>
    <w:link w:val="af2"/>
    <w:uiPriority w:val="99"/>
    <w:qFormat/>
    <w:pPr>
      <w:widowControl w:val="0"/>
      <w:adjustRightInd/>
      <w:spacing w:after="0"/>
    </w:pPr>
    <w:rPr>
      <w:rFonts w:ascii="Times New Roman" w:eastAsia="宋体" w:hAnsi="Times New Roman" w:cs="Times New Roman"/>
      <w:kern w:val="2"/>
      <w:sz w:val="18"/>
      <w:szCs w:val="18"/>
    </w:rPr>
  </w:style>
  <w:style w:type="paragraph" w:styleId="21">
    <w:name w:val="toc 2"/>
    <w:basedOn w:val="a"/>
    <w:next w:val="a"/>
    <w:uiPriority w:val="39"/>
    <w:qFormat/>
    <w:pPr>
      <w:widowControl w:val="0"/>
      <w:adjustRightInd/>
      <w:snapToGrid/>
      <w:spacing w:after="0"/>
      <w:ind w:leftChars="200" w:left="420"/>
      <w:jc w:val="both"/>
    </w:pPr>
    <w:rPr>
      <w:rFonts w:ascii="Times New Roman" w:eastAsia="宋体" w:hAnsi="Times New Roman" w:cs="Times New Roman"/>
      <w:kern w:val="2"/>
      <w:sz w:val="30"/>
      <w:szCs w:val="24"/>
    </w:rPr>
  </w:style>
  <w:style w:type="paragraph" w:styleId="HTML">
    <w:name w:val="HTML Preformatted"/>
    <w:basedOn w:val="a"/>
    <w:link w:val="HTML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3">
    <w:name w:val="Normal (Web)"/>
    <w:basedOn w:val="a"/>
    <w:uiPriority w:val="99"/>
    <w:qFormat/>
    <w:pPr>
      <w:adjustRightInd/>
      <w:snapToGrid/>
      <w:spacing w:before="100" w:beforeAutospacing="1" w:after="100" w:afterAutospacing="1"/>
    </w:pPr>
    <w:rPr>
      <w:rFonts w:ascii="宋体" w:eastAsia="宋体" w:hAnsi="宋体" w:cs="宋体"/>
      <w:sz w:val="24"/>
      <w:szCs w:val="24"/>
    </w:rPr>
  </w:style>
  <w:style w:type="paragraph" w:styleId="af4">
    <w:name w:val="Title"/>
    <w:basedOn w:val="a"/>
    <w:next w:val="a"/>
    <w:link w:val="af5"/>
    <w:qFormat/>
    <w:pPr>
      <w:widowControl w:val="0"/>
      <w:adjustRightInd/>
      <w:snapToGrid/>
      <w:spacing w:before="240" w:after="60"/>
      <w:jc w:val="center"/>
      <w:outlineLvl w:val="0"/>
    </w:pPr>
    <w:rPr>
      <w:rFonts w:asciiTheme="majorHAnsi" w:eastAsia="宋体" w:hAnsiTheme="majorHAnsi" w:cstheme="majorBidi"/>
      <w:b/>
      <w:bCs/>
      <w:kern w:val="2"/>
      <w:sz w:val="32"/>
      <w:szCs w:val="32"/>
    </w:rPr>
  </w:style>
  <w:style w:type="paragraph" w:styleId="af6">
    <w:name w:val="annotation subject"/>
    <w:basedOn w:val="a5"/>
    <w:next w:val="a5"/>
    <w:link w:val="af7"/>
    <w:uiPriority w:val="99"/>
    <w:qFormat/>
    <w:pPr>
      <w:widowControl w:val="0"/>
      <w:adjustRightInd/>
      <w:snapToGrid/>
      <w:spacing w:after="0"/>
    </w:pPr>
    <w:rPr>
      <w:rFonts w:ascii="Times New Roman" w:eastAsia="宋体" w:hAnsi="Times New Roman" w:cs="Times New Roman"/>
      <w:b/>
      <w:bCs/>
      <w:kern w:val="2"/>
      <w:sz w:val="21"/>
      <w:szCs w:val="24"/>
    </w:rPr>
  </w:style>
  <w:style w:type="character" w:styleId="af8">
    <w:name w:val="page number"/>
    <w:basedOn w:val="a0"/>
    <w:uiPriority w:val="99"/>
    <w:qFormat/>
  </w:style>
  <w:style w:type="character" w:styleId="af9">
    <w:name w:val="FollowedHyperlink"/>
    <w:basedOn w:val="a0"/>
    <w:uiPriority w:val="99"/>
    <w:unhideWhenUsed/>
    <w:qFormat/>
    <w:rPr>
      <w:color w:val="800080"/>
      <w:u w:val="single"/>
    </w:rPr>
  </w:style>
  <w:style w:type="character" w:styleId="afa">
    <w:name w:val="Emphasis"/>
    <w:uiPriority w:val="99"/>
    <w:qFormat/>
    <w:rPr>
      <w:color w:val="CC0000"/>
    </w:rPr>
  </w:style>
  <w:style w:type="character" w:styleId="afb">
    <w:name w:val="Hyperlink"/>
    <w:uiPriority w:val="99"/>
    <w:qFormat/>
    <w:rPr>
      <w:color w:val="0000FF"/>
      <w:u w:val="single"/>
    </w:rPr>
  </w:style>
  <w:style w:type="character" w:styleId="afc">
    <w:name w:val="annotation reference"/>
    <w:basedOn w:val="a0"/>
    <w:uiPriority w:val="99"/>
    <w:qFormat/>
    <w:rPr>
      <w:sz w:val="21"/>
      <w:szCs w:val="21"/>
    </w:rPr>
  </w:style>
  <w:style w:type="character" w:styleId="afd">
    <w:name w:val="footnote reference"/>
    <w:basedOn w:val="a0"/>
    <w:uiPriority w:val="99"/>
    <w:qFormat/>
    <w:rPr>
      <w:vertAlign w:val="superscript"/>
    </w:rPr>
  </w:style>
  <w:style w:type="character" w:customStyle="1" w:styleId="10">
    <w:name w:val="标题 1 字符"/>
    <w:basedOn w:val="a0"/>
    <w:link w:val="1"/>
    <w:uiPriority w:val="99"/>
    <w:qFormat/>
    <w:rPr>
      <w:rFonts w:ascii="Times New Roman" w:eastAsia="黑体" w:hAnsi="Times New Roman" w:cs="Times New Roman"/>
      <w:b/>
      <w:bCs/>
      <w:color w:val="000000"/>
      <w:kern w:val="44"/>
      <w:sz w:val="36"/>
      <w:szCs w:val="44"/>
      <w:u w:color="000000"/>
    </w:rPr>
  </w:style>
  <w:style w:type="character" w:customStyle="1" w:styleId="20">
    <w:name w:val="标题 2 字符"/>
    <w:basedOn w:val="a0"/>
    <w:link w:val="2"/>
    <w:uiPriority w:val="99"/>
    <w:qFormat/>
    <w:rPr>
      <w:rFonts w:ascii="Arial" w:eastAsia="黑体" w:hAnsi="Arial" w:cs="Times New Roman"/>
      <w:b/>
      <w:bCs/>
      <w:kern w:val="2"/>
      <w:sz w:val="32"/>
      <w:szCs w:val="32"/>
    </w:rPr>
  </w:style>
  <w:style w:type="character" w:customStyle="1" w:styleId="30">
    <w:name w:val="标题 3 字符"/>
    <w:basedOn w:val="a0"/>
    <w:link w:val="3"/>
    <w:uiPriority w:val="99"/>
    <w:qFormat/>
    <w:rPr>
      <w:rFonts w:ascii="Times New Roman" w:eastAsia="仿宋_GB2312" w:hAnsi="Times New Roman" w:cs="Times New Roman"/>
      <w:b/>
      <w:bCs/>
      <w:sz w:val="30"/>
      <w:szCs w:val="32"/>
      <w:u w:color="000000"/>
    </w:rPr>
  </w:style>
  <w:style w:type="character" w:customStyle="1" w:styleId="40">
    <w:name w:val="标题 4 字符"/>
    <w:basedOn w:val="a0"/>
    <w:link w:val="4"/>
    <w:qFormat/>
    <w:rPr>
      <w:rFonts w:asciiTheme="majorHAnsi" w:eastAsiaTheme="majorEastAsia" w:hAnsiTheme="majorHAnsi" w:cstheme="majorBidi"/>
      <w:b/>
      <w:bCs/>
      <w:kern w:val="2"/>
      <w:sz w:val="28"/>
      <w:szCs w:val="28"/>
    </w:rPr>
  </w:style>
  <w:style w:type="character" w:customStyle="1" w:styleId="50">
    <w:name w:val="标题 5 字符"/>
    <w:basedOn w:val="a0"/>
    <w:link w:val="5"/>
    <w:qFormat/>
    <w:rPr>
      <w:rFonts w:ascii="Times New Roman" w:eastAsia="宋体" w:hAnsi="Times New Roman" w:cs="Times New Roman"/>
      <w:b/>
      <w:bCs/>
      <w:kern w:val="2"/>
      <w:sz w:val="28"/>
      <w:szCs w:val="28"/>
    </w:rPr>
  </w:style>
  <w:style w:type="character" w:customStyle="1" w:styleId="60">
    <w:name w:val="标题 6 字符"/>
    <w:basedOn w:val="a0"/>
    <w:link w:val="6"/>
    <w:qFormat/>
    <w:rPr>
      <w:rFonts w:asciiTheme="majorHAnsi" w:eastAsiaTheme="majorEastAsia" w:hAnsiTheme="majorHAnsi" w:cstheme="majorBidi"/>
      <w:b/>
      <w:bCs/>
      <w:kern w:val="2"/>
      <w:sz w:val="24"/>
      <w:szCs w:val="24"/>
    </w:rPr>
  </w:style>
  <w:style w:type="character" w:customStyle="1" w:styleId="af0">
    <w:name w:val="页眉 字符"/>
    <w:basedOn w:val="a0"/>
    <w:link w:val="af"/>
    <w:uiPriority w:val="99"/>
    <w:qFormat/>
    <w:rPr>
      <w:rFonts w:ascii="Tahoma" w:hAnsi="Tahoma"/>
      <w:sz w:val="18"/>
      <w:szCs w:val="18"/>
    </w:rPr>
  </w:style>
  <w:style w:type="character" w:customStyle="1" w:styleId="ae">
    <w:name w:val="页脚 字符"/>
    <w:basedOn w:val="a0"/>
    <w:link w:val="ad"/>
    <w:uiPriority w:val="99"/>
    <w:qFormat/>
    <w:rPr>
      <w:rFonts w:ascii="Tahoma" w:hAnsi="Tahoma"/>
      <w:sz w:val="18"/>
      <w:szCs w:val="18"/>
    </w:rPr>
  </w:style>
  <w:style w:type="paragraph" w:customStyle="1" w:styleId="12">
    <w:name w:val="标题1"/>
    <w:basedOn w:val="a"/>
    <w:qFormat/>
    <w:pPr>
      <w:widowControl w:val="0"/>
      <w:adjustRightInd/>
      <w:snapToGrid/>
      <w:spacing w:after="0"/>
      <w:ind w:firstLineChars="200" w:firstLine="640"/>
      <w:jc w:val="center"/>
    </w:pPr>
    <w:rPr>
      <w:rFonts w:ascii="Times New Roman" w:eastAsia="黑体" w:hAnsi="Times New Roman" w:cs="Times New Roman"/>
      <w:kern w:val="2"/>
      <w:sz w:val="32"/>
      <w:szCs w:val="21"/>
    </w:rPr>
  </w:style>
  <w:style w:type="paragraph" w:customStyle="1" w:styleId="13">
    <w:name w:val="列出段落1"/>
    <w:basedOn w:val="a"/>
    <w:uiPriority w:val="99"/>
    <w:qFormat/>
    <w:pPr>
      <w:ind w:firstLineChars="200" w:firstLine="420"/>
    </w:pPr>
  </w:style>
  <w:style w:type="character" w:customStyle="1" w:styleId="a6">
    <w:name w:val="批注文字 字符"/>
    <w:basedOn w:val="a0"/>
    <w:link w:val="a5"/>
    <w:uiPriority w:val="99"/>
    <w:qFormat/>
    <w:rPr>
      <w:rFonts w:ascii="Tahoma" w:hAnsi="Tahoma"/>
    </w:rPr>
  </w:style>
  <w:style w:type="character" w:customStyle="1" w:styleId="af7">
    <w:name w:val="批注主题 字符"/>
    <w:basedOn w:val="a6"/>
    <w:link w:val="af6"/>
    <w:uiPriority w:val="99"/>
    <w:qFormat/>
    <w:rPr>
      <w:rFonts w:ascii="Times New Roman" w:eastAsia="宋体" w:hAnsi="Times New Roman" w:cs="Times New Roman"/>
      <w:b/>
      <w:bCs/>
      <w:kern w:val="2"/>
      <w:sz w:val="21"/>
      <w:szCs w:val="24"/>
    </w:rPr>
  </w:style>
  <w:style w:type="character" w:customStyle="1" w:styleId="a4">
    <w:name w:val="文档结构图 字符"/>
    <w:basedOn w:val="a0"/>
    <w:link w:val="a3"/>
    <w:uiPriority w:val="99"/>
    <w:semiHidden/>
    <w:qFormat/>
    <w:rPr>
      <w:rFonts w:ascii="Times New Roman" w:eastAsia="宋体" w:hAnsi="Times New Roman" w:cs="Times New Roman"/>
      <w:kern w:val="2"/>
      <w:sz w:val="21"/>
      <w:szCs w:val="24"/>
      <w:shd w:val="clear" w:color="auto" w:fill="000080"/>
    </w:rPr>
  </w:style>
  <w:style w:type="character" w:customStyle="1" w:styleId="a8">
    <w:name w:val="正文文本 字符"/>
    <w:basedOn w:val="a0"/>
    <w:link w:val="a7"/>
    <w:uiPriority w:val="99"/>
    <w:qFormat/>
    <w:rPr>
      <w:rFonts w:ascii="Times New Roman" w:eastAsia="宋体" w:hAnsi="Times New Roman" w:cs="Times New Roman"/>
      <w:kern w:val="2"/>
      <w:sz w:val="21"/>
      <w:szCs w:val="24"/>
    </w:rPr>
  </w:style>
  <w:style w:type="character" w:customStyle="1" w:styleId="aa">
    <w:name w:val="纯文本 字符"/>
    <w:basedOn w:val="a0"/>
    <w:link w:val="a9"/>
    <w:uiPriority w:val="99"/>
    <w:qFormat/>
    <w:rPr>
      <w:rFonts w:ascii="宋体" w:eastAsia="宋体" w:hAnsi="Times New Roman" w:cs="Times New Roman"/>
      <w:color w:val="000000"/>
      <w:sz w:val="21"/>
      <w:szCs w:val="20"/>
      <w:u w:color="000000"/>
    </w:rPr>
  </w:style>
  <w:style w:type="character" w:customStyle="1" w:styleId="ac">
    <w:name w:val="批注框文本 字符"/>
    <w:basedOn w:val="a0"/>
    <w:link w:val="ab"/>
    <w:uiPriority w:val="99"/>
    <w:qFormat/>
    <w:rPr>
      <w:rFonts w:ascii="Times New Roman" w:eastAsia="宋体" w:hAnsi="Times New Roman" w:cs="Times New Roman"/>
      <w:kern w:val="2"/>
      <w:sz w:val="18"/>
      <w:szCs w:val="18"/>
    </w:rPr>
  </w:style>
  <w:style w:type="character" w:customStyle="1" w:styleId="af2">
    <w:name w:val="脚注文本 字符"/>
    <w:basedOn w:val="a0"/>
    <w:link w:val="af1"/>
    <w:uiPriority w:val="99"/>
    <w:qFormat/>
    <w:rPr>
      <w:rFonts w:ascii="Times New Roman" w:eastAsia="宋体" w:hAnsi="Times New Roman" w:cs="Times New Roman"/>
      <w:kern w:val="2"/>
      <w:sz w:val="18"/>
      <w:szCs w:val="18"/>
    </w:rPr>
  </w:style>
  <w:style w:type="character" w:customStyle="1" w:styleId="HTML0">
    <w:name w:val="HTML 预设格式 字符"/>
    <w:basedOn w:val="a0"/>
    <w:link w:val="HTML"/>
    <w:qFormat/>
    <w:rPr>
      <w:rFonts w:ascii="宋体" w:eastAsia="宋体" w:hAnsi="宋体" w:cs="宋体"/>
      <w:sz w:val="24"/>
      <w:szCs w:val="24"/>
    </w:rPr>
  </w:style>
  <w:style w:type="paragraph" w:customStyle="1" w:styleId="xl69">
    <w:name w:val="xl69"/>
    <w:basedOn w:val="a"/>
    <w:uiPriority w:val="99"/>
    <w:qFormat/>
    <w:pPr>
      <w:pBdr>
        <w:top w:val="single" w:sz="8" w:space="0" w:color="auto"/>
        <w:left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4">
    <w:name w:val="xl74"/>
    <w:basedOn w:val="a"/>
    <w:uiPriority w:val="99"/>
    <w:qFormat/>
    <w:pPr>
      <w:pBdr>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xl70">
    <w:name w:val="xl70"/>
    <w:basedOn w:val="a"/>
    <w:uiPriority w:val="99"/>
    <w:qFormat/>
    <w:pPr>
      <w:pBdr>
        <w:left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7">
    <w:name w:val="font7"/>
    <w:basedOn w:val="a"/>
    <w:uiPriority w:val="99"/>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xl72">
    <w:name w:val="xl72"/>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xl67">
    <w:name w:val="xl67"/>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5">
    <w:name w:val="font5"/>
    <w:basedOn w:val="a"/>
    <w:uiPriority w:val="99"/>
    <w:qFormat/>
    <w:pPr>
      <w:adjustRightInd/>
      <w:snapToGrid/>
      <w:spacing w:before="100" w:beforeAutospacing="1" w:after="100" w:afterAutospacing="1"/>
    </w:pPr>
    <w:rPr>
      <w:rFonts w:ascii="宋体" w:eastAsia="宋体" w:hAnsi="宋体" w:cs="宋体"/>
      <w:b/>
      <w:bCs/>
      <w:color w:val="000000"/>
      <w:sz w:val="24"/>
      <w:szCs w:val="24"/>
    </w:rPr>
  </w:style>
  <w:style w:type="paragraph" w:customStyle="1" w:styleId="xl65">
    <w:name w:val="xl65"/>
    <w:basedOn w:val="a"/>
    <w:uiPriority w:val="99"/>
    <w:qFormat/>
    <w:pPr>
      <w:adjustRightInd/>
      <w:snapToGrid/>
      <w:spacing w:before="100" w:beforeAutospacing="1" w:after="100" w:afterAutospacing="1"/>
    </w:pPr>
    <w:rPr>
      <w:rFonts w:ascii="宋体" w:eastAsia="宋体" w:hAnsi="宋体" w:cs="宋体"/>
      <w:sz w:val="24"/>
      <w:szCs w:val="24"/>
    </w:rPr>
  </w:style>
  <w:style w:type="paragraph" w:customStyle="1" w:styleId="font6">
    <w:name w:val="font6"/>
    <w:basedOn w:val="a"/>
    <w:uiPriority w:val="99"/>
    <w:qFormat/>
    <w:pPr>
      <w:adjustRightInd/>
      <w:snapToGrid/>
      <w:spacing w:before="100" w:beforeAutospacing="1" w:after="100" w:afterAutospacing="1"/>
    </w:pPr>
    <w:rPr>
      <w:rFonts w:ascii="宋体" w:eastAsia="宋体" w:hAnsi="宋体" w:cs="宋体"/>
      <w:color w:val="000000"/>
    </w:rPr>
  </w:style>
  <w:style w:type="paragraph" w:customStyle="1" w:styleId="xl75">
    <w:name w:val="xl75"/>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CharCharCharCharCharChar1Char">
    <w:name w:val="Char Char Char Char Char Char1 Char"/>
    <w:basedOn w:val="a"/>
    <w:uiPriority w:val="99"/>
    <w:qFormat/>
    <w:pPr>
      <w:adjustRightInd/>
      <w:snapToGrid/>
      <w:spacing w:after="160" w:line="240" w:lineRule="exact"/>
    </w:pPr>
    <w:rPr>
      <w:rFonts w:ascii="Times New Roman" w:eastAsia="宋体" w:hAnsi="Times New Roman" w:cs="Times New Roman"/>
      <w:kern w:val="2"/>
      <w:sz w:val="21"/>
      <w:szCs w:val="24"/>
    </w:rPr>
  </w:style>
  <w:style w:type="paragraph" w:customStyle="1" w:styleId="xl68">
    <w:name w:val="xl68"/>
    <w:basedOn w:val="a"/>
    <w:uiPriority w:val="99"/>
    <w:qFormat/>
    <w:pPr>
      <w:pBdr>
        <w:bottom w:val="single" w:sz="8" w:space="0" w:color="auto"/>
        <w:right w:val="single" w:sz="8" w:space="0" w:color="auto"/>
      </w:pBdr>
      <w:adjustRightInd/>
      <w:snapToGrid/>
      <w:spacing w:before="100" w:beforeAutospacing="1" w:after="100" w:afterAutospacing="1"/>
      <w:jc w:val="center"/>
      <w:textAlignment w:val="top"/>
    </w:pPr>
    <w:rPr>
      <w:rFonts w:ascii="宋体" w:eastAsia="宋体" w:hAnsi="宋体" w:cs="宋体"/>
    </w:rPr>
  </w:style>
  <w:style w:type="paragraph" w:customStyle="1" w:styleId="xl66">
    <w:name w:val="xl66"/>
    <w:basedOn w:val="a"/>
    <w:uiPriority w:val="99"/>
    <w:qFormat/>
    <w:pPr>
      <w:pBdr>
        <w:top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3">
    <w:name w:val="xl73"/>
    <w:basedOn w:val="a"/>
    <w:uiPriority w:val="99"/>
    <w:qFormat/>
    <w:pPr>
      <w:pBdr>
        <w:top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1">
    <w:name w:val="xl71"/>
    <w:basedOn w:val="a"/>
    <w:uiPriority w:val="99"/>
    <w:qFormat/>
    <w:pPr>
      <w:pBdr>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230">
    <w:name w:val="样式 标题 2 + 行距: 固定值 30 磅"/>
    <w:basedOn w:val="2"/>
    <w:uiPriority w:val="99"/>
    <w:qFormat/>
    <w:pPr>
      <w:widowControl/>
      <w:spacing w:line="600" w:lineRule="exact"/>
      <w:jc w:val="left"/>
      <w:textAlignment w:val="baseline"/>
    </w:pPr>
    <w:rPr>
      <w:rFonts w:eastAsia="楷体_GB2312" w:cs="宋体"/>
      <w:color w:val="000000"/>
      <w:kern w:val="0"/>
      <w:szCs w:val="20"/>
      <w:u w:color="000000"/>
    </w:rPr>
  </w:style>
  <w:style w:type="paragraph" w:customStyle="1" w:styleId="110">
    <w:name w:val="列出段落11"/>
    <w:basedOn w:val="a"/>
    <w:uiPriority w:val="99"/>
    <w:qFormat/>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CharChar">
    <w:name w:val="Char Char"/>
    <w:basedOn w:val="a"/>
    <w:qFormat/>
    <w:pPr>
      <w:widowControl w:val="0"/>
      <w:adjustRightInd/>
      <w:snapToGrid/>
      <w:spacing w:after="0"/>
      <w:jc w:val="both"/>
    </w:pPr>
    <w:rPr>
      <w:rFonts w:ascii="Times New Roman" w:eastAsia="宋体" w:hAnsi="Times New Roman" w:cs="Times New Roman"/>
      <w:kern w:val="2"/>
      <w:sz w:val="21"/>
      <w:szCs w:val="24"/>
    </w:rPr>
  </w:style>
  <w:style w:type="paragraph" w:customStyle="1" w:styleId="Char">
    <w:name w:val="Char"/>
    <w:basedOn w:val="a"/>
    <w:uiPriority w:val="99"/>
    <w:qFormat/>
    <w:pPr>
      <w:adjustRightInd/>
      <w:snapToGrid/>
      <w:spacing w:after="160" w:line="240" w:lineRule="exact"/>
    </w:pPr>
    <w:rPr>
      <w:rFonts w:ascii="Calibri" w:eastAsia="宋体" w:hAnsi="Calibri" w:cs="Times New Roman"/>
      <w:kern w:val="2"/>
      <w:sz w:val="21"/>
    </w:rPr>
  </w:style>
  <w:style w:type="paragraph" w:customStyle="1" w:styleId="p">
    <w:name w:val="p"/>
    <w:basedOn w:val="a"/>
    <w:uiPriority w:val="99"/>
    <w:qFormat/>
    <w:pPr>
      <w:adjustRightInd/>
      <w:snapToGrid/>
      <w:spacing w:before="100" w:beforeAutospacing="1" w:after="100" w:afterAutospacing="1"/>
    </w:pPr>
    <w:rPr>
      <w:rFonts w:ascii="宋体" w:eastAsia="宋体" w:hAnsi="宋体" w:cs="宋体"/>
      <w:sz w:val="24"/>
      <w:szCs w:val="24"/>
    </w:rPr>
  </w:style>
  <w:style w:type="paragraph" w:customStyle="1" w:styleId="ParaCharCharCharChar">
    <w:name w:val="默认段落字体 Para Char Char Char Char"/>
    <w:basedOn w:val="a"/>
    <w:uiPriority w:val="99"/>
    <w:qFormat/>
    <w:pPr>
      <w:widowControl w:val="0"/>
      <w:adjustRightInd/>
      <w:snapToGrid/>
      <w:spacing w:after="0"/>
      <w:jc w:val="both"/>
    </w:pPr>
    <w:rPr>
      <w:rFonts w:ascii="Times New Roman" w:eastAsia="宋体" w:hAnsi="Times New Roman" w:cs="Times New Roman"/>
      <w:sz w:val="21"/>
      <w:szCs w:val="20"/>
      <w:lang w:eastAsia="en-US"/>
    </w:rPr>
  </w:style>
  <w:style w:type="character" w:customStyle="1" w:styleId="af5">
    <w:name w:val="标题 字符"/>
    <w:basedOn w:val="a0"/>
    <w:link w:val="af4"/>
    <w:qFormat/>
    <w:rPr>
      <w:rFonts w:asciiTheme="majorHAnsi" w:eastAsia="宋体" w:hAnsiTheme="majorHAnsi" w:cstheme="majorBidi"/>
      <w:b/>
      <w:bCs/>
      <w:kern w:val="2"/>
      <w:sz w:val="32"/>
      <w:szCs w:val="32"/>
    </w:rPr>
  </w:style>
  <w:style w:type="paragraph" w:customStyle="1" w:styleId="TOC1">
    <w:name w:val="TOC 标题1"/>
    <w:basedOn w:val="1"/>
    <w:next w:val="a"/>
    <w:uiPriority w:val="39"/>
    <w:unhideWhenUsed/>
    <w:qFormat/>
    <w:pPr>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0"/>
    <w:qFormat/>
    <w:rPr>
      <w:rFonts w:ascii="宋体" w:eastAsia="宋体" w:hAnsi="宋体" w:cs="宋体" w:hint="eastAsia"/>
      <w:b/>
      <w:color w:val="000000"/>
      <w:sz w:val="32"/>
      <w:szCs w:val="32"/>
      <w:u w:val="none"/>
    </w:rPr>
  </w:style>
  <w:style w:type="character" w:customStyle="1" w:styleId="font21">
    <w:name w:val="font21"/>
    <w:basedOn w:val="a0"/>
    <w:qFormat/>
    <w:rPr>
      <w:rFonts w:ascii="Times New Roman" w:hAnsi="Times New Roman" w:cs="Times New Roman" w:hint="default"/>
      <w:b/>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89532\Desktop\&#24213;&#31295;---&#33258;&#24049;&#3034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89532\Desktop\&#24213;&#31295;---&#33258;&#24049;&#3034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pitchFamily="3" charset="-122"/>
                <a:ea typeface="仿宋" panose="02010609060101010101" pitchFamily="3" charset="-122"/>
                <a:cs typeface="仿宋" panose="02010609060101010101" pitchFamily="3" charset="-122"/>
              </a:rPr>
              <a:t>2019</a:t>
            </a:r>
            <a:r>
              <a:rPr lang="zh-CN" altLang="en-US" sz="1400" b="0">
                <a:latin typeface="仿宋" panose="02010609060101010101" pitchFamily="3" charset="-122"/>
                <a:ea typeface="仿宋" panose="02010609060101010101" pitchFamily="3" charset="-122"/>
                <a:cs typeface="仿宋" panose="02010609060101010101" pitchFamily="3" charset="-122"/>
              </a:rPr>
              <a:t>年决算收入结构图</a:t>
            </a:r>
          </a:p>
        </c:rich>
      </c:tx>
      <c:layout>
        <c:manualLayout>
          <c:xMode val="edge"/>
          <c:yMode val="edge"/>
          <c:x val="0.295138888888892"/>
          <c:y val="6.9444444444444796E-3"/>
        </c:manualLayout>
      </c:layout>
      <c:overlay val="0"/>
    </c:title>
    <c:autoTitleDeleted val="0"/>
    <c:plotArea>
      <c:layout>
        <c:manualLayout>
          <c:layoutTarget val="inner"/>
          <c:xMode val="edge"/>
          <c:yMode val="edge"/>
          <c:x val="0.13585476815398101"/>
          <c:y val="0.23148148148148501"/>
          <c:w val="0.397777777777782"/>
          <c:h val="0.66296296296295898"/>
        </c:manualLayout>
      </c:layout>
      <c:pieChart>
        <c:varyColors val="1"/>
        <c:ser>
          <c:idx val="0"/>
          <c:order val="0"/>
          <c:tx>
            <c:strRef>
              <c:f>'[底稿---自己的.xlsx]Sheet1'!$C$3</c:f>
              <c:strCache>
                <c:ptCount val="1"/>
                <c:pt idx="0">
                  <c:v>决算</c:v>
                </c:pt>
              </c:strCache>
            </c:strRef>
          </c:tx>
          <c:dPt>
            <c:idx val="0"/>
            <c:bubble3D val="0"/>
            <c:extLst>
              <c:ext xmlns:c16="http://schemas.microsoft.com/office/drawing/2014/chart" uri="{C3380CC4-5D6E-409C-BE32-E72D297353CC}">
                <c16:uniqueId val="{00000000-2BE9-4034-8F0B-34005A7D0371}"/>
              </c:ext>
            </c:extLst>
          </c:dPt>
          <c:dPt>
            <c:idx val="1"/>
            <c:bubble3D val="0"/>
            <c:extLst>
              <c:ext xmlns:c16="http://schemas.microsoft.com/office/drawing/2014/chart" uri="{C3380CC4-5D6E-409C-BE32-E72D297353CC}">
                <c16:uniqueId val="{00000001-2BE9-4034-8F0B-34005A7D0371}"/>
              </c:ext>
            </c:extLst>
          </c:dPt>
          <c:dPt>
            <c:idx val="2"/>
            <c:bubble3D val="0"/>
            <c:extLst>
              <c:ext xmlns:c16="http://schemas.microsoft.com/office/drawing/2014/chart" uri="{C3380CC4-5D6E-409C-BE32-E72D297353CC}">
                <c16:uniqueId val="{00000002-2BE9-4034-8F0B-34005A7D0371}"/>
              </c:ext>
            </c:extLst>
          </c:dPt>
          <c:dPt>
            <c:idx val="3"/>
            <c:bubble3D val="0"/>
            <c:extLst>
              <c:ext xmlns:c16="http://schemas.microsoft.com/office/drawing/2014/chart" uri="{C3380CC4-5D6E-409C-BE32-E72D297353CC}">
                <c16:uniqueId val="{00000003-2BE9-4034-8F0B-34005A7D0371}"/>
              </c:ext>
            </c:extLst>
          </c:dPt>
          <c:dLbls>
            <c:dLbl>
              <c:idx val="0"/>
              <c:layout>
                <c:manualLayout>
                  <c:x val="-0.139737751531059"/>
                  <c:y val="-0.178139399241762"/>
                </c:manualLayout>
              </c:layout>
              <c:tx>
                <c:rich>
                  <a:bodyPr/>
                  <a:lstStyle/>
                  <a:p>
                    <a:r>
                      <a:rPr lang="en-US" altLang="zh-CN"/>
                      <a:t>2083.95</a:t>
                    </a:r>
                    <a:r>
                      <a:rPr lang="en-US" altLang="zh-CN" baseline="0"/>
                      <a:t>, 85.33%</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2BE9-4034-8F0B-34005A7D0371}"/>
                </c:ext>
              </c:extLst>
            </c:dLbl>
            <c:dLbl>
              <c:idx val="1"/>
              <c:layout>
                <c:manualLayout>
                  <c:x val="-6.5094050743656996E-3"/>
                  <c:y val="2.6053878681831798E-2"/>
                </c:manualLayout>
              </c:layout>
              <c:tx>
                <c:rich>
                  <a:bodyPr/>
                  <a:lstStyle/>
                  <a:p>
                    <a:r>
                      <a:rPr lang="en-US" altLang="zh-CN"/>
                      <a:t>255.7</a:t>
                    </a:r>
                    <a:r>
                      <a:rPr lang="en-US" altLang="zh-CN" baseline="0"/>
                      <a:t>,10.47%</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2BE9-4034-8F0B-34005A7D0371}"/>
                </c:ext>
              </c:extLst>
            </c:dLbl>
            <c:dLbl>
              <c:idx val="2"/>
              <c:layout>
                <c:manualLayout>
                  <c:x val="-1.9693241469816301E-2"/>
                  <c:y val="-5.0106080489938899E-2"/>
                </c:manualLayout>
              </c:layout>
              <c:tx>
                <c:rich>
                  <a:bodyPr/>
                  <a:lstStyle/>
                  <a:p>
                    <a:r>
                      <a:rPr lang="en-US" altLang="zh-CN"/>
                      <a:t>34.76</a:t>
                    </a:r>
                    <a:r>
                      <a:rPr lang="en-US" altLang="zh-CN" baseline="0"/>
                      <a:t>,1.42%</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2BE9-4034-8F0B-34005A7D0371}"/>
                </c:ext>
              </c:extLst>
            </c:dLbl>
            <c:dLbl>
              <c:idx val="3"/>
              <c:layout>
                <c:manualLayout>
                  <c:x val="0.11103980752405899"/>
                  <c:y val="-2.6103091280256601E-2"/>
                </c:manualLayout>
              </c:layout>
              <c:tx>
                <c:rich>
                  <a:bodyPr/>
                  <a:lstStyle/>
                  <a:p>
                    <a:r>
                      <a:rPr lang="en-US" altLang="zh-CN" baseline="0"/>
                      <a:t>67.79,2.78%</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2BE9-4034-8F0B-34005A7D0371}"/>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1"/>
            <c:showBubbleSize val="0"/>
            <c:showLeaderLines val="1"/>
            <c:extLst>
              <c:ext xmlns:c15="http://schemas.microsoft.com/office/drawing/2012/chart" uri="{CE6537A1-D6FC-4f65-9D91-7224C49458BB}"/>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1124.81</c:v>
                </c:pt>
                <c:pt idx="1">
                  <c:v>105.54</c:v>
                </c:pt>
                <c:pt idx="2">
                  <c:v>23.94</c:v>
                </c:pt>
                <c:pt idx="3">
                  <c:v>45.89</c:v>
                </c:pt>
              </c:numCache>
            </c:numRef>
          </c:val>
          <c:extLst>
            <c:ext xmlns:c16="http://schemas.microsoft.com/office/drawing/2014/chart" uri="{C3380CC4-5D6E-409C-BE32-E72D297353CC}">
              <c16:uniqueId val="{00000004-2BE9-4034-8F0B-34005A7D0371}"/>
            </c:ext>
          </c:extLst>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pitchFamily="3" charset="-122"/>
                <a:ea typeface="仿宋" panose="02010609060101010101" pitchFamily="3" charset="-122"/>
                <a:cs typeface="仿宋" panose="02010609060101010101" pitchFamily="3" charset="-122"/>
              </a:rPr>
              <a:t>2019</a:t>
            </a:r>
            <a:r>
              <a:rPr lang="zh-CN" altLang="en-US" sz="1400" b="0">
                <a:latin typeface="仿宋" panose="02010609060101010101" pitchFamily="3" charset="-122"/>
                <a:ea typeface="仿宋" panose="02010609060101010101" pitchFamily="3" charset="-122"/>
                <a:cs typeface="仿宋" panose="02010609060101010101" pitchFamily="3" charset="-122"/>
              </a:rPr>
              <a:t>年度决算支出结构图</a:t>
            </a:r>
          </a:p>
        </c:rich>
      </c:tx>
      <c:layout>
        <c:manualLayout>
          <c:xMode val="edge"/>
          <c:yMode val="edge"/>
          <c:x val="0.29834605597964797"/>
          <c:y val="6.8259385665528898E-3"/>
        </c:manualLayout>
      </c:layout>
      <c:overlay val="0"/>
    </c:title>
    <c:autoTitleDeleted val="0"/>
    <c:plotArea>
      <c:layout>
        <c:manualLayout>
          <c:layoutTarget val="inner"/>
          <c:xMode val="edge"/>
          <c:yMode val="edge"/>
          <c:x val="0.13585476815398101"/>
          <c:y val="0.23148148148148501"/>
          <c:w val="0.397777777777782"/>
          <c:h val="0.66296296296295898"/>
        </c:manualLayout>
      </c:layout>
      <c:pieChart>
        <c:varyColors val="1"/>
        <c:ser>
          <c:idx val="0"/>
          <c:order val="0"/>
          <c:tx>
            <c:strRef>
              <c:f>'[底稿---自己的.xlsx]Sheet1'!$C$3</c:f>
              <c:strCache>
                <c:ptCount val="1"/>
                <c:pt idx="0">
                  <c:v>决算</c:v>
                </c:pt>
              </c:strCache>
            </c:strRef>
          </c:tx>
          <c:dPt>
            <c:idx val="0"/>
            <c:bubble3D val="0"/>
            <c:extLst>
              <c:ext xmlns:c16="http://schemas.microsoft.com/office/drawing/2014/chart" uri="{C3380CC4-5D6E-409C-BE32-E72D297353CC}">
                <c16:uniqueId val="{00000000-F7C9-4661-8CBE-B15BF8785E82}"/>
              </c:ext>
            </c:extLst>
          </c:dPt>
          <c:dPt>
            <c:idx val="1"/>
            <c:bubble3D val="0"/>
            <c:extLst>
              <c:ext xmlns:c16="http://schemas.microsoft.com/office/drawing/2014/chart" uri="{C3380CC4-5D6E-409C-BE32-E72D297353CC}">
                <c16:uniqueId val="{00000001-F7C9-4661-8CBE-B15BF8785E82}"/>
              </c:ext>
            </c:extLst>
          </c:dPt>
          <c:dPt>
            <c:idx val="2"/>
            <c:bubble3D val="0"/>
            <c:extLst>
              <c:ext xmlns:c16="http://schemas.microsoft.com/office/drawing/2014/chart" uri="{C3380CC4-5D6E-409C-BE32-E72D297353CC}">
                <c16:uniqueId val="{00000002-F7C9-4661-8CBE-B15BF8785E82}"/>
              </c:ext>
            </c:extLst>
          </c:dPt>
          <c:dPt>
            <c:idx val="3"/>
            <c:bubble3D val="0"/>
            <c:extLst>
              <c:ext xmlns:c16="http://schemas.microsoft.com/office/drawing/2014/chart" uri="{C3380CC4-5D6E-409C-BE32-E72D297353CC}">
                <c16:uniqueId val="{00000003-F7C9-4661-8CBE-B15BF8785E82}"/>
              </c:ext>
            </c:extLst>
          </c:dPt>
          <c:dLbls>
            <c:dLbl>
              <c:idx val="0"/>
              <c:layout>
                <c:manualLayout>
                  <c:x val="-0.139737751531059"/>
                  <c:y val="-0.178139399241762"/>
                </c:manualLayout>
              </c:layout>
              <c:tx>
                <c:rich>
                  <a:bodyPr/>
                  <a:lstStyle/>
                  <a:p>
                    <a:r>
                      <a:rPr lang="en-US" altLang="zh-CN"/>
                      <a:t>2093.48</a:t>
                    </a:r>
                    <a:r>
                      <a:rPr lang="en-US" altLang="zh-CN" baseline="0"/>
                      <a:t>,85.38%</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F7C9-4661-8CBE-B15BF8785E82}"/>
                </c:ext>
              </c:extLst>
            </c:dLbl>
            <c:dLbl>
              <c:idx val="1"/>
              <c:layout>
                <c:manualLayout>
                  <c:x val="-6.5094050743656996E-3"/>
                  <c:y val="2.6053878681831798E-2"/>
                </c:manualLayout>
              </c:layout>
              <c:tx>
                <c:rich>
                  <a:bodyPr/>
                  <a:lstStyle/>
                  <a:p>
                    <a:r>
                      <a:rPr lang="en-US" altLang="zh-CN"/>
                      <a:t>255.68</a:t>
                    </a:r>
                    <a:r>
                      <a:rPr lang="en-US" altLang="zh-CN" baseline="0"/>
                      <a:t>,10.43%</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F7C9-4661-8CBE-B15BF8785E82}"/>
                </c:ext>
              </c:extLst>
            </c:dLbl>
            <c:dLbl>
              <c:idx val="2"/>
              <c:layout>
                <c:manualLayout>
                  <c:x val="-1.9693241469816301E-2"/>
                  <c:y val="-5.0106080489938899E-2"/>
                </c:manualLayout>
              </c:layout>
              <c:tx>
                <c:rich>
                  <a:bodyPr/>
                  <a:lstStyle/>
                  <a:p>
                    <a:r>
                      <a:rPr lang="en-US" altLang="zh-CN"/>
                      <a:t>34.76</a:t>
                    </a:r>
                    <a:r>
                      <a:rPr lang="en-US" altLang="zh-CN" baseline="0"/>
                      <a:t>,1.42%</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F7C9-4661-8CBE-B15BF8785E82}"/>
                </c:ext>
              </c:extLst>
            </c:dLbl>
            <c:dLbl>
              <c:idx val="3"/>
              <c:layout>
                <c:manualLayout>
                  <c:x val="0.11103980752405899"/>
                  <c:y val="-2.6103091280256601E-2"/>
                </c:manualLayout>
              </c:layout>
              <c:tx>
                <c:rich>
                  <a:bodyPr/>
                  <a:lstStyle/>
                  <a:p>
                    <a:r>
                      <a:rPr lang="en-US" altLang="zh-CN" baseline="0"/>
                      <a:t>67.79,2.77%</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F7C9-4661-8CBE-B15BF8785E82}"/>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1"/>
            <c:showBubbleSize val="0"/>
            <c:showLeaderLines val="1"/>
            <c:extLst>
              <c:ext xmlns:c15="http://schemas.microsoft.com/office/drawing/2012/chart" uri="{CE6537A1-D6FC-4f65-9D91-7224C49458BB}"/>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1189.1600000000001</c:v>
                </c:pt>
                <c:pt idx="1">
                  <c:v>105.54</c:v>
                </c:pt>
                <c:pt idx="2">
                  <c:v>23.94</c:v>
                </c:pt>
                <c:pt idx="3">
                  <c:v>45.89</c:v>
                </c:pt>
              </c:numCache>
            </c:numRef>
          </c:val>
          <c:extLst>
            <c:ext xmlns:c16="http://schemas.microsoft.com/office/drawing/2014/chart" uri="{C3380CC4-5D6E-409C-BE32-E72D297353CC}">
              <c16:uniqueId val="{00000004-F7C9-4661-8CBE-B15BF8785E82}"/>
            </c:ext>
          </c:extLst>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2045E9-712F-4BC8-A42B-82B9645B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33</Pages>
  <Words>2276</Words>
  <Characters>12975</Characters>
  <Application>Microsoft Office Word</Application>
  <DocSecurity>0</DocSecurity>
  <Lines>108</Lines>
  <Paragraphs>30</Paragraphs>
  <ScaleCrop>false</ScaleCrop>
  <Company>Microsoft</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25</cp:revision>
  <cp:lastPrinted>2020-08-10T02:34:00Z</cp:lastPrinted>
  <dcterms:created xsi:type="dcterms:W3CDTF">2020-09-02T01:28:00Z</dcterms:created>
  <dcterms:modified xsi:type="dcterms:W3CDTF">2020-11-26T04:08:00Z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