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E8" w:rsidRDefault="00CB17E8">
      <w:pPr>
        <w:rPr>
          <w:rFonts w:asciiTheme="majorEastAsia" w:eastAsiaTheme="majorEastAsia" w:hAnsiTheme="majorEastAsia"/>
          <w:sz w:val="84"/>
          <w:szCs w:val="84"/>
        </w:rPr>
      </w:pPr>
    </w:p>
    <w:p w:rsidR="00CB17E8" w:rsidRDefault="00CB17E8">
      <w:pPr>
        <w:rPr>
          <w:rFonts w:asciiTheme="majorEastAsia" w:eastAsiaTheme="majorEastAsia" w:hAnsiTheme="majorEastAsia"/>
          <w:sz w:val="84"/>
          <w:szCs w:val="84"/>
        </w:rPr>
      </w:pPr>
    </w:p>
    <w:p w:rsidR="00CB17E8" w:rsidRDefault="00CB17E8">
      <w:pPr>
        <w:rPr>
          <w:rFonts w:asciiTheme="majorEastAsia" w:eastAsiaTheme="majorEastAsia" w:hAnsiTheme="majorEastAsia"/>
          <w:sz w:val="84"/>
          <w:szCs w:val="84"/>
        </w:rPr>
      </w:pPr>
    </w:p>
    <w:p w:rsidR="00CB17E8" w:rsidRDefault="00CB17E8">
      <w:pPr>
        <w:rPr>
          <w:rFonts w:asciiTheme="majorEastAsia" w:eastAsiaTheme="majorEastAsia" w:hAnsiTheme="majorEastAsia"/>
          <w:sz w:val="84"/>
          <w:szCs w:val="84"/>
        </w:rPr>
      </w:pPr>
    </w:p>
    <w:p w:rsidR="003A7448" w:rsidRDefault="00CB17E8">
      <w:pPr>
        <w:rPr>
          <w:rFonts w:asciiTheme="majorEastAsia" w:eastAsiaTheme="majorEastAsia" w:hAnsiTheme="majorEastAsia"/>
          <w:sz w:val="84"/>
          <w:szCs w:val="84"/>
        </w:rPr>
      </w:pPr>
      <w:r w:rsidRPr="00CB17E8">
        <w:rPr>
          <w:rFonts w:asciiTheme="majorEastAsia" w:eastAsiaTheme="majorEastAsia" w:hAnsiTheme="majorEastAsia" w:hint="eastAsia"/>
          <w:sz w:val="84"/>
          <w:szCs w:val="84"/>
        </w:rPr>
        <w:t>第一</w:t>
      </w:r>
      <w:r w:rsidRPr="00CB17E8">
        <w:rPr>
          <w:rFonts w:asciiTheme="majorEastAsia" w:eastAsiaTheme="majorEastAsia" w:hAnsiTheme="majorEastAsia"/>
          <w:sz w:val="84"/>
          <w:szCs w:val="84"/>
        </w:rPr>
        <w:t>部分</w:t>
      </w:r>
      <w:r w:rsidRPr="00CB17E8">
        <w:rPr>
          <w:rFonts w:asciiTheme="majorEastAsia" w:eastAsiaTheme="majorEastAsia" w:hAnsiTheme="majorEastAsia" w:hint="eastAsia"/>
          <w:sz w:val="84"/>
          <w:szCs w:val="84"/>
        </w:rPr>
        <w:t xml:space="preserve">  部门</w:t>
      </w:r>
      <w:r w:rsidRPr="00CB17E8">
        <w:rPr>
          <w:rFonts w:asciiTheme="majorEastAsia" w:eastAsiaTheme="majorEastAsia" w:hAnsiTheme="majorEastAsia"/>
          <w:sz w:val="84"/>
          <w:szCs w:val="84"/>
        </w:rPr>
        <w:t>概况</w:t>
      </w:r>
    </w:p>
    <w:p w:rsidR="00CB17E8" w:rsidRDefault="00CB17E8" w:rsidP="00CB17E8">
      <w:pPr>
        <w:spacing w:after="160" w:line="480" w:lineRule="auto"/>
        <w:rPr>
          <w:rFonts w:ascii="黑体" w:eastAsia="黑体" w:hAnsi="黑体" w:cs="Times New Roman"/>
          <w:sz w:val="32"/>
          <w:szCs w:val="32"/>
        </w:rPr>
      </w:pPr>
    </w:p>
    <w:p w:rsidR="00CB17E8" w:rsidRDefault="00CB17E8" w:rsidP="00CB17E8">
      <w:pPr>
        <w:spacing w:after="160" w:line="480" w:lineRule="auto"/>
        <w:rPr>
          <w:rFonts w:ascii="黑体" w:eastAsia="黑体" w:hAnsi="黑体" w:cs="Times New Roman"/>
          <w:sz w:val="32"/>
          <w:szCs w:val="32"/>
        </w:rPr>
      </w:pPr>
    </w:p>
    <w:p w:rsidR="00CB17E8" w:rsidRDefault="00CB17E8" w:rsidP="00CB17E8">
      <w:pPr>
        <w:spacing w:after="160" w:line="480" w:lineRule="auto"/>
        <w:rPr>
          <w:rFonts w:ascii="黑体" w:eastAsia="黑体" w:hAnsi="黑体" w:cs="Times New Roman"/>
          <w:sz w:val="32"/>
          <w:szCs w:val="32"/>
        </w:rPr>
      </w:pPr>
    </w:p>
    <w:p w:rsidR="00CB17E8" w:rsidRDefault="00CB17E8" w:rsidP="00CB17E8">
      <w:pPr>
        <w:spacing w:after="160" w:line="480" w:lineRule="auto"/>
        <w:rPr>
          <w:rFonts w:ascii="黑体" w:eastAsia="黑体" w:hAnsi="黑体" w:cs="Times New Roman"/>
          <w:sz w:val="32"/>
          <w:szCs w:val="32"/>
        </w:rPr>
      </w:pPr>
    </w:p>
    <w:p w:rsidR="00CB17E8" w:rsidRDefault="00CB17E8" w:rsidP="00CB17E8">
      <w:pPr>
        <w:spacing w:after="160" w:line="480" w:lineRule="auto"/>
        <w:rPr>
          <w:rFonts w:ascii="黑体" w:eastAsia="黑体" w:hAnsi="黑体" w:cs="Times New Roman"/>
          <w:sz w:val="32"/>
          <w:szCs w:val="32"/>
        </w:rPr>
      </w:pPr>
    </w:p>
    <w:p w:rsidR="00CB17E8" w:rsidRDefault="00CB17E8" w:rsidP="00CB17E8">
      <w:pPr>
        <w:spacing w:after="160" w:line="480" w:lineRule="auto"/>
        <w:rPr>
          <w:rFonts w:ascii="黑体" w:eastAsia="黑体" w:hAnsi="黑体" w:cs="Times New Roman"/>
          <w:sz w:val="32"/>
          <w:szCs w:val="32"/>
        </w:rPr>
      </w:pPr>
    </w:p>
    <w:p w:rsidR="00CB17E8" w:rsidRDefault="00CB17E8" w:rsidP="00CB17E8">
      <w:pPr>
        <w:spacing w:after="160" w:line="480" w:lineRule="auto"/>
        <w:rPr>
          <w:rFonts w:ascii="黑体" w:eastAsia="黑体" w:hAnsi="黑体" w:cs="Times New Roman"/>
          <w:sz w:val="32"/>
          <w:szCs w:val="32"/>
        </w:rPr>
      </w:pPr>
    </w:p>
    <w:p w:rsidR="00CB17E8" w:rsidRDefault="00CB17E8" w:rsidP="00CB17E8">
      <w:pPr>
        <w:spacing w:after="160" w:line="480" w:lineRule="auto"/>
        <w:rPr>
          <w:rFonts w:ascii="黑体" w:eastAsia="黑体" w:hAnsi="黑体" w:cs="Times New Roman"/>
          <w:sz w:val="32"/>
          <w:szCs w:val="32"/>
        </w:rPr>
      </w:pPr>
    </w:p>
    <w:p w:rsidR="00CB17E8" w:rsidRDefault="00CB17E8" w:rsidP="00CB17E8">
      <w:pPr>
        <w:spacing w:after="160" w:line="480" w:lineRule="auto"/>
        <w:rPr>
          <w:rFonts w:ascii="黑体" w:eastAsia="黑体" w:hAnsi="黑体" w:cs="Times New Roman"/>
          <w:sz w:val="32"/>
          <w:szCs w:val="32"/>
        </w:rPr>
      </w:pPr>
    </w:p>
    <w:p w:rsidR="00CB17E8" w:rsidRDefault="00CB17E8" w:rsidP="00CB17E8">
      <w:pPr>
        <w:spacing w:after="160" w:line="480" w:lineRule="auto"/>
        <w:rPr>
          <w:rFonts w:ascii="黑体" w:eastAsia="黑体" w:hAnsi="黑体" w:cs="Times New Roman"/>
          <w:sz w:val="32"/>
          <w:szCs w:val="32"/>
        </w:rPr>
      </w:pPr>
    </w:p>
    <w:p w:rsidR="00CB17E8" w:rsidRPr="00CB17E8" w:rsidRDefault="00CB17E8" w:rsidP="00CB17E8">
      <w:pPr>
        <w:spacing w:after="160" w:line="480" w:lineRule="auto"/>
        <w:rPr>
          <w:rFonts w:ascii="黑体" w:eastAsia="黑体" w:hAnsi="黑体" w:cs="Times New Roman"/>
          <w:sz w:val="32"/>
          <w:szCs w:val="32"/>
        </w:rPr>
      </w:pPr>
      <w:r w:rsidRPr="00CB17E8">
        <w:rPr>
          <w:rFonts w:ascii="黑体" w:eastAsia="黑体" w:hAnsi="黑体" w:cs="Times New Roman" w:hint="eastAsia"/>
          <w:sz w:val="32"/>
          <w:szCs w:val="32"/>
        </w:rPr>
        <w:lastRenderedPageBreak/>
        <w:t>一、部门</w:t>
      </w:r>
      <w:r w:rsidRPr="00CB17E8">
        <w:rPr>
          <w:rFonts w:ascii="黑体" w:eastAsia="黑体" w:hAnsi="黑体" w:cs="Times New Roman"/>
          <w:sz w:val="32"/>
          <w:szCs w:val="32"/>
        </w:rPr>
        <w:t>职责</w:t>
      </w:r>
    </w:p>
    <w:p w:rsidR="0030088C" w:rsidRPr="007F6565" w:rsidRDefault="0030088C" w:rsidP="0030088C">
      <w:pPr>
        <w:spacing w:line="500" w:lineRule="exact"/>
        <w:jc w:val="left"/>
        <w:rPr>
          <w:rFonts w:ascii="仿宋_GB2312" w:eastAsia="仿宋_GB2312" w:cs="ArialUnicodeMS"/>
          <w:kern w:val="0"/>
          <w:sz w:val="32"/>
          <w:szCs w:val="32"/>
        </w:rPr>
      </w:pPr>
      <w:r w:rsidRPr="007F6565">
        <w:rPr>
          <w:rFonts w:ascii="仿宋_GB2312" w:eastAsia="仿宋_GB2312" w:cs="ArialUnicodeMS"/>
          <w:kern w:val="0"/>
          <w:sz w:val="32"/>
          <w:szCs w:val="32"/>
        </w:rPr>
        <w:t>（一）负责党委、人大、政府交办的各项日常工作和纪检监察、组织、宣传、统一战线、人事编制、工青妇及各部门、各方面的综合协调工作。督促检查有关工作的落实。</w:t>
      </w:r>
    </w:p>
    <w:p w:rsidR="0030088C" w:rsidRPr="007F6565" w:rsidRDefault="0030088C" w:rsidP="0030088C">
      <w:pPr>
        <w:spacing w:line="500" w:lineRule="exact"/>
        <w:jc w:val="left"/>
        <w:rPr>
          <w:rFonts w:ascii="仿宋_GB2312" w:eastAsia="仿宋_GB2312" w:cs="ArialUnicodeMS"/>
          <w:kern w:val="0"/>
          <w:sz w:val="32"/>
          <w:szCs w:val="32"/>
        </w:rPr>
      </w:pPr>
      <w:r w:rsidRPr="007F6565">
        <w:rPr>
          <w:rFonts w:ascii="仿宋_GB2312" w:eastAsia="仿宋_GB2312" w:cs="ArialUnicodeMS"/>
          <w:kern w:val="0"/>
          <w:sz w:val="32"/>
          <w:szCs w:val="32"/>
        </w:rPr>
        <w:t>（二）负责谋划发展思路、创优发展环境、推进农业产业化、促进农民增收、抓好项目建设、服务辖区企业、加强基础设施建设、国有资产管理、搞好统计工作，协调与经济发展相关的其他工作。负责本级财政预决算、收支和村</w:t>
      </w:r>
      <w:bookmarkStart w:id="0" w:name="_GoBack"/>
      <w:bookmarkEnd w:id="0"/>
      <w:r w:rsidRPr="007F6565">
        <w:rPr>
          <w:rFonts w:ascii="仿宋_GB2312" w:eastAsia="仿宋_GB2312" w:cs="ArialUnicodeMS"/>
          <w:kern w:val="0"/>
          <w:sz w:val="32"/>
          <w:szCs w:val="32"/>
        </w:rPr>
        <w:t>级财务监督检查等工作。</w:t>
      </w:r>
    </w:p>
    <w:p w:rsidR="0030088C" w:rsidRPr="007F6565" w:rsidRDefault="0030088C" w:rsidP="0030088C">
      <w:pPr>
        <w:spacing w:line="500" w:lineRule="exact"/>
        <w:jc w:val="left"/>
        <w:rPr>
          <w:rFonts w:ascii="仿宋_GB2312" w:eastAsia="仿宋_GB2312" w:cs="ArialUnicodeMS"/>
          <w:kern w:val="0"/>
          <w:sz w:val="32"/>
          <w:szCs w:val="32"/>
        </w:rPr>
      </w:pPr>
      <w:r w:rsidRPr="007F6565">
        <w:rPr>
          <w:rFonts w:ascii="仿宋_GB2312" w:eastAsia="仿宋_GB2312" w:cs="ArialUnicodeMS"/>
          <w:kern w:val="0"/>
          <w:sz w:val="32"/>
          <w:szCs w:val="32"/>
        </w:rPr>
        <w:t>（三）负责民政优抚、扶贫开发、民族宗教、劳动和社会保障、科教文卫、安全行产等工作。负责本镇农村社会化发展，负责村镇基础设施、交通等规划、建设、管理工作，负责国土资源、环境保护等工作。负责落实人口计划，开展和推动人口和计划生育各项工作，贯彻实施计划生育条例和法规。协调与社会事务相关的其他工作。</w:t>
      </w:r>
    </w:p>
    <w:p w:rsidR="0030088C" w:rsidRPr="007F6565" w:rsidRDefault="0030088C" w:rsidP="0030088C">
      <w:pPr>
        <w:spacing w:line="500" w:lineRule="exact"/>
        <w:jc w:val="left"/>
        <w:rPr>
          <w:rFonts w:ascii="仿宋_GB2312" w:eastAsia="仿宋_GB2312" w:cs="ArialUnicodeMS"/>
          <w:kern w:val="0"/>
          <w:sz w:val="32"/>
          <w:szCs w:val="32"/>
        </w:rPr>
      </w:pPr>
      <w:r w:rsidRPr="007F6565">
        <w:rPr>
          <w:rFonts w:ascii="仿宋_GB2312" w:eastAsia="仿宋_GB2312" w:cs="ArialUnicodeMS"/>
          <w:kern w:val="0"/>
          <w:sz w:val="32"/>
          <w:szCs w:val="32"/>
        </w:rPr>
        <w:t>（四）负责来信来访、协调法庭、公安等部门工作，负责辖区内社会治安综合治理和法制宣传等工作，调解民事纠纷，维护社会稳定。</w:t>
      </w:r>
    </w:p>
    <w:p w:rsidR="0030088C" w:rsidRPr="007F6565" w:rsidRDefault="0030088C" w:rsidP="0030088C">
      <w:pPr>
        <w:spacing w:line="500" w:lineRule="exact"/>
        <w:jc w:val="left"/>
        <w:rPr>
          <w:rFonts w:ascii="仿宋_GB2312" w:eastAsia="仿宋_GB2312" w:cs="ArialUnicodeMS"/>
          <w:kern w:val="0"/>
          <w:sz w:val="32"/>
          <w:szCs w:val="32"/>
        </w:rPr>
      </w:pPr>
      <w:r w:rsidRPr="007F6565">
        <w:rPr>
          <w:rFonts w:ascii="仿宋_GB2312" w:eastAsia="仿宋_GB2312" w:cs="ArialUnicodeMS"/>
          <w:kern w:val="0"/>
          <w:sz w:val="32"/>
          <w:szCs w:val="32"/>
        </w:rPr>
        <w:t>（五）负责计划生育技术服务；负责生育指导和避孕咨询；负责婚前咨询和新婚保健；负责计划生育技术人员与婚前保健服务人员培训；负责计划生育科学研究等。</w:t>
      </w:r>
    </w:p>
    <w:p w:rsidR="0030088C" w:rsidRPr="007F6565" w:rsidRDefault="0030088C" w:rsidP="0030088C">
      <w:pPr>
        <w:spacing w:line="500" w:lineRule="exact"/>
        <w:jc w:val="left"/>
        <w:rPr>
          <w:rFonts w:ascii="仿宋_GB2312" w:eastAsia="仿宋_GB2312" w:cs="ArialUnicodeMS"/>
          <w:kern w:val="0"/>
          <w:sz w:val="32"/>
          <w:szCs w:val="32"/>
        </w:rPr>
      </w:pPr>
      <w:r w:rsidRPr="007F6565">
        <w:rPr>
          <w:rFonts w:ascii="仿宋_GB2312" w:eastAsia="仿宋_GB2312" w:cs="ArialUnicodeMS"/>
          <w:kern w:val="0"/>
          <w:sz w:val="32"/>
          <w:szCs w:val="32"/>
        </w:rPr>
        <w:t>（六）开展科技宣传等各种形式的文体活动，推动健康向上的农村文化，发展广播电影电视事业，进一步丰富农村业余文化生活，建设好农村社会主义文化阵地，在建设农村物质文明的同时、建设好农村精神文明。</w:t>
      </w:r>
    </w:p>
    <w:p w:rsidR="00CB17E8" w:rsidRPr="00CB17E8" w:rsidRDefault="00CB17E8" w:rsidP="003F0F88">
      <w:pPr>
        <w:spacing w:line="50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CB17E8">
        <w:rPr>
          <w:rFonts w:ascii="黑体" w:eastAsia="黑体" w:hAnsi="黑体" w:cs="Times New Roman" w:hint="eastAsia"/>
          <w:sz w:val="32"/>
          <w:szCs w:val="32"/>
        </w:rPr>
        <w:t>二、</w:t>
      </w:r>
      <w:r w:rsidRPr="00CB17E8">
        <w:rPr>
          <w:rFonts w:ascii="黑体" w:eastAsia="黑体" w:hAnsi="黑体" w:cs="Times New Roman"/>
          <w:sz w:val="32"/>
          <w:szCs w:val="32"/>
        </w:rPr>
        <w:t>机构设置</w:t>
      </w:r>
    </w:p>
    <w:p w:rsidR="00CB17E8" w:rsidRPr="00CB17E8" w:rsidRDefault="00CB17E8" w:rsidP="003F0F88">
      <w:pPr>
        <w:spacing w:line="500" w:lineRule="exact"/>
        <w:jc w:val="left"/>
        <w:rPr>
          <w:rFonts w:ascii="仿宋_GB2312" w:eastAsia="仿宋_GB2312" w:cs="ArialUnicodeMS"/>
          <w:kern w:val="0"/>
          <w:sz w:val="32"/>
          <w:szCs w:val="32"/>
        </w:rPr>
      </w:pPr>
      <w:r w:rsidRPr="00CB17E8">
        <w:rPr>
          <w:rFonts w:ascii="仿宋_GB2312" w:eastAsia="仿宋_GB2312" w:cs="ArialUnicodeMS" w:hint="eastAsia"/>
          <w:kern w:val="0"/>
          <w:sz w:val="32"/>
          <w:szCs w:val="32"/>
        </w:rPr>
        <w:t>从决算编报单位构成看，纳入</w:t>
      </w:r>
      <w:r w:rsidR="00752C61">
        <w:rPr>
          <w:rFonts w:ascii="仿宋_GB2312" w:eastAsia="仿宋_GB2312" w:cs="ArialUnicodeMS" w:hint="eastAsia"/>
          <w:kern w:val="0"/>
          <w:sz w:val="32"/>
          <w:szCs w:val="32"/>
        </w:rPr>
        <w:t>201</w:t>
      </w:r>
      <w:r w:rsidR="00752C61">
        <w:rPr>
          <w:rFonts w:ascii="仿宋_GB2312" w:eastAsia="仿宋_GB2312" w:cs="ArialUnicodeMS"/>
          <w:kern w:val="0"/>
          <w:sz w:val="32"/>
          <w:szCs w:val="32"/>
        </w:rPr>
        <w:t>9</w:t>
      </w:r>
      <w:r w:rsidRPr="00CB17E8">
        <w:rPr>
          <w:rFonts w:ascii="仿宋_GB2312" w:eastAsia="仿宋_GB2312" w:cs="ArialUnicodeMS" w:hint="eastAsia"/>
          <w:kern w:val="0"/>
          <w:sz w:val="32"/>
          <w:szCs w:val="32"/>
        </w:rPr>
        <w:t>年度本部门决算汇编范</w:t>
      </w:r>
      <w:r w:rsidRPr="00CB17E8">
        <w:rPr>
          <w:rFonts w:ascii="仿宋_GB2312" w:eastAsia="仿宋_GB2312" w:cs="ArialUnicodeMS" w:hint="eastAsia"/>
          <w:kern w:val="0"/>
          <w:sz w:val="32"/>
          <w:szCs w:val="32"/>
        </w:rPr>
        <w:lastRenderedPageBreak/>
        <w:t>围的独立核算单位（以下简称“单位”）共</w:t>
      </w:r>
      <w:r w:rsidR="00CD6D4F">
        <w:rPr>
          <w:rFonts w:ascii="仿宋_GB2312" w:eastAsia="仿宋_GB2312" w:cs="ArialUnicodeMS"/>
          <w:kern w:val="0"/>
          <w:sz w:val="32"/>
          <w:szCs w:val="32"/>
        </w:rPr>
        <w:t>1</w:t>
      </w:r>
      <w:r w:rsidRPr="00CB17E8">
        <w:rPr>
          <w:rFonts w:ascii="仿宋_GB2312" w:eastAsia="仿宋_GB2312" w:cs="ArialUnicodeMS" w:hint="eastAsia"/>
          <w:kern w:val="0"/>
          <w:sz w:val="32"/>
          <w:szCs w:val="32"/>
        </w:rPr>
        <w:t>个，具体情况如下：</w:t>
      </w:r>
    </w:p>
    <w:tbl>
      <w:tblPr>
        <w:tblStyle w:val="a3"/>
        <w:tblpPr w:leftFromText="180" w:rightFromText="180" w:vertAnchor="text" w:horzAnchor="page" w:tblpXSpec="center" w:tblpY="10"/>
        <w:tblOverlap w:val="never"/>
        <w:tblW w:w="9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485"/>
        <w:gridCol w:w="2445"/>
        <w:gridCol w:w="2665"/>
      </w:tblGrid>
      <w:tr w:rsidR="00CB17E8" w:rsidRPr="00CB17E8" w:rsidTr="00D35BAD">
        <w:trPr>
          <w:trHeight w:val="811"/>
          <w:jc w:val="center"/>
        </w:trPr>
        <w:tc>
          <w:tcPr>
            <w:tcW w:w="848" w:type="dxa"/>
            <w:vAlign w:val="center"/>
          </w:tcPr>
          <w:p w:rsidR="00CB17E8" w:rsidRPr="00CB17E8" w:rsidRDefault="00CB17E8" w:rsidP="00CB17E8">
            <w:pPr>
              <w:spacing w:line="560" w:lineRule="exact"/>
              <w:jc w:val="center"/>
              <w:rPr>
                <w:rFonts w:ascii="仿宋_GB2312" w:eastAsia="仿宋_GB2312" w:cs="ArialUnicodeMS"/>
                <w:b/>
                <w:bCs/>
                <w:sz w:val="28"/>
                <w:szCs w:val="28"/>
              </w:rPr>
            </w:pPr>
            <w:r w:rsidRPr="00CB17E8">
              <w:rPr>
                <w:rFonts w:ascii="仿宋_GB2312" w:eastAsia="仿宋_GB2312" w:cs="ArialUnicodeMS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485" w:type="dxa"/>
            <w:vAlign w:val="center"/>
          </w:tcPr>
          <w:p w:rsidR="00CB17E8" w:rsidRPr="00CB17E8" w:rsidRDefault="00CB17E8" w:rsidP="00CB17E8">
            <w:pPr>
              <w:spacing w:line="560" w:lineRule="exact"/>
              <w:jc w:val="center"/>
              <w:rPr>
                <w:rFonts w:ascii="仿宋_GB2312" w:eastAsia="仿宋_GB2312" w:cs="ArialUnicodeMS"/>
                <w:b/>
                <w:bCs/>
                <w:sz w:val="28"/>
                <w:szCs w:val="28"/>
              </w:rPr>
            </w:pPr>
            <w:r w:rsidRPr="00CB17E8">
              <w:rPr>
                <w:rFonts w:ascii="仿宋_GB2312" w:eastAsia="仿宋_GB2312" w:cs="ArialUnicodeMS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2445" w:type="dxa"/>
            <w:vAlign w:val="center"/>
          </w:tcPr>
          <w:p w:rsidR="00CB17E8" w:rsidRPr="00CB17E8" w:rsidRDefault="00CB17E8" w:rsidP="00CB17E8">
            <w:pPr>
              <w:spacing w:line="560" w:lineRule="exact"/>
              <w:jc w:val="center"/>
              <w:rPr>
                <w:rFonts w:ascii="仿宋_GB2312" w:eastAsia="仿宋_GB2312" w:cs="ArialUnicodeMS"/>
                <w:b/>
                <w:bCs/>
                <w:sz w:val="28"/>
                <w:szCs w:val="28"/>
              </w:rPr>
            </w:pPr>
            <w:r w:rsidRPr="00CB17E8">
              <w:rPr>
                <w:rFonts w:ascii="仿宋_GB2312" w:eastAsia="仿宋_GB2312" w:cs="ArialUnicodeMS" w:hint="eastAsia"/>
                <w:b/>
                <w:bCs/>
                <w:sz w:val="28"/>
                <w:szCs w:val="28"/>
              </w:rPr>
              <w:t>单位基本性质</w:t>
            </w:r>
          </w:p>
        </w:tc>
        <w:tc>
          <w:tcPr>
            <w:tcW w:w="2665" w:type="dxa"/>
            <w:vAlign w:val="center"/>
          </w:tcPr>
          <w:p w:rsidR="00CB17E8" w:rsidRPr="00CB17E8" w:rsidRDefault="00CB17E8" w:rsidP="00CB17E8">
            <w:pPr>
              <w:spacing w:line="560" w:lineRule="exact"/>
              <w:jc w:val="center"/>
              <w:rPr>
                <w:rFonts w:ascii="仿宋_GB2312" w:eastAsia="仿宋_GB2312" w:cs="ArialUnicodeMS"/>
                <w:b/>
                <w:bCs/>
                <w:sz w:val="28"/>
                <w:szCs w:val="28"/>
              </w:rPr>
            </w:pPr>
            <w:r w:rsidRPr="00CB17E8">
              <w:rPr>
                <w:rFonts w:ascii="仿宋_GB2312" w:eastAsia="仿宋_GB2312" w:cs="ArialUnicodeMS" w:hint="eastAsia"/>
                <w:b/>
                <w:bCs/>
                <w:sz w:val="28"/>
                <w:szCs w:val="28"/>
              </w:rPr>
              <w:t>经费形式</w:t>
            </w:r>
          </w:p>
        </w:tc>
      </w:tr>
      <w:tr w:rsidR="00CB17E8" w:rsidRPr="00CB17E8" w:rsidTr="00D35BAD">
        <w:trPr>
          <w:trHeight w:val="1010"/>
          <w:jc w:val="center"/>
        </w:trPr>
        <w:tc>
          <w:tcPr>
            <w:tcW w:w="848" w:type="dxa"/>
          </w:tcPr>
          <w:p w:rsidR="00CB17E8" w:rsidRPr="00CB17E8" w:rsidRDefault="00CB17E8" w:rsidP="00CB17E8">
            <w:pPr>
              <w:spacing w:line="560" w:lineRule="exact"/>
              <w:jc w:val="center"/>
              <w:rPr>
                <w:rFonts w:ascii="仿宋_GB2312" w:eastAsia="仿宋_GB2312" w:cs="ArialUnicodeMS"/>
                <w:sz w:val="28"/>
                <w:szCs w:val="28"/>
              </w:rPr>
            </w:pPr>
            <w:r w:rsidRPr="00CB17E8">
              <w:rPr>
                <w:rFonts w:ascii="仿宋_GB2312" w:eastAsia="仿宋_GB2312" w:cs="ArialUnicodeMS" w:hint="eastAsia"/>
                <w:sz w:val="28"/>
                <w:szCs w:val="28"/>
              </w:rPr>
              <w:t>1</w:t>
            </w:r>
          </w:p>
        </w:tc>
        <w:tc>
          <w:tcPr>
            <w:tcW w:w="3485" w:type="dxa"/>
          </w:tcPr>
          <w:p w:rsidR="00CB17E8" w:rsidRPr="00CB17E8" w:rsidRDefault="00D35BAD" w:rsidP="00CB17E8">
            <w:pPr>
              <w:spacing w:line="560" w:lineRule="exact"/>
              <w:rPr>
                <w:rFonts w:ascii="仿宋_GB2312" w:eastAsia="仿宋_GB2312" w:cs="ArialUnicodeMS"/>
                <w:sz w:val="28"/>
                <w:szCs w:val="28"/>
              </w:rPr>
            </w:pPr>
            <w:r>
              <w:rPr>
                <w:rFonts w:ascii="仿宋_GB2312" w:eastAsia="仿宋_GB2312" w:cs="ArialUnicodeMS" w:hint="eastAsia"/>
                <w:sz w:val="28"/>
                <w:szCs w:val="28"/>
              </w:rPr>
              <w:t>高</w:t>
            </w:r>
            <w:r>
              <w:rPr>
                <w:rFonts w:ascii="仿宋_GB2312" w:eastAsia="仿宋_GB2312" w:cs="ArialUnicodeMS"/>
                <w:sz w:val="28"/>
                <w:szCs w:val="28"/>
              </w:rPr>
              <w:t>林村</w:t>
            </w:r>
            <w:r>
              <w:rPr>
                <w:rFonts w:ascii="仿宋_GB2312" w:eastAsia="仿宋_GB2312" w:cs="ArialUnicodeMS" w:hint="eastAsia"/>
                <w:sz w:val="28"/>
                <w:szCs w:val="28"/>
              </w:rPr>
              <w:t>镇</w:t>
            </w:r>
            <w:r w:rsidR="00CB17E8" w:rsidRPr="00CB17E8">
              <w:rPr>
                <w:rFonts w:ascii="仿宋_GB2312" w:eastAsia="仿宋_GB2312" w:cs="ArialUnicodeMS" w:hint="eastAsia"/>
                <w:sz w:val="28"/>
                <w:szCs w:val="28"/>
              </w:rPr>
              <w:t>(</w:t>
            </w:r>
            <w:r>
              <w:rPr>
                <w:rFonts w:ascii="仿宋_GB2312" w:eastAsia="仿宋_GB2312" w:cs="ArialUnicodeMS" w:hint="eastAsia"/>
                <w:sz w:val="28"/>
                <w:szCs w:val="28"/>
              </w:rPr>
              <w:t>行</w:t>
            </w:r>
            <w:r>
              <w:rPr>
                <w:rFonts w:ascii="仿宋_GB2312" w:eastAsia="仿宋_GB2312" w:cs="ArialUnicodeMS"/>
                <w:sz w:val="28"/>
                <w:szCs w:val="28"/>
              </w:rPr>
              <w:t>政</w:t>
            </w:r>
            <w:r w:rsidR="00CB17E8" w:rsidRPr="00CB17E8">
              <w:rPr>
                <w:rFonts w:ascii="仿宋_GB2312" w:eastAsia="仿宋_GB2312" w:cs="ArialUnicodeMS" w:hint="eastAsia"/>
                <w:sz w:val="28"/>
                <w:szCs w:val="28"/>
              </w:rPr>
              <w:t>)</w:t>
            </w:r>
          </w:p>
        </w:tc>
        <w:tc>
          <w:tcPr>
            <w:tcW w:w="2445" w:type="dxa"/>
          </w:tcPr>
          <w:p w:rsidR="00CB17E8" w:rsidRPr="00CB17E8" w:rsidRDefault="00D35BAD" w:rsidP="00D35BAD">
            <w:pPr>
              <w:spacing w:line="560" w:lineRule="exact"/>
              <w:ind w:firstLineChars="250" w:firstLine="700"/>
              <w:rPr>
                <w:rFonts w:ascii="仿宋_GB2312" w:eastAsia="仿宋_GB2312" w:cs="ArialUnicodeMS"/>
                <w:sz w:val="28"/>
                <w:szCs w:val="28"/>
              </w:rPr>
            </w:pPr>
            <w:r>
              <w:rPr>
                <w:rFonts w:ascii="仿宋_GB2312" w:eastAsia="仿宋_GB2312" w:cs="ArialUnicodeMS" w:hint="eastAsia"/>
                <w:sz w:val="28"/>
                <w:szCs w:val="28"/>
              </w:rPr>
              <w:t>行</w:t>
            </w:r>
            <w:r>
              <w:rPr>
                <w:rFonts w:ascii="仿宋_GB2312" w:eastAsia="仿宋_GB2312" w:cs="ArialUnicodeMS"/>
                <w:sz w:val="28"/>
                <w:szCs w:val="28"/>
              </w:rPr>
              <w:t>政</w:t>
            </w:r>
          </w:p>
        </w:tc>
        <w:tc>
          <w:tcPr>
            <w:tcW w:w="2665" w:type="dxa"/>
          </w:tcPr>
          <w:p w:rsidR="00CB17E8" w:rsidRPr="00CB17E8" w:rsidRDefault="00D35BAD" w:rsidP="00CB17E8">
            <w:pPr>
              <w:spacing w:line="560" w:lineRule="exact"/>
              <w:jc w:val="center"/>
              <w:rPr>
                <w:rFonts w:ascii="仿宋_GB2312" w:eastAsia="仿宋_GB2312" w:cs="ArialUnicodeMS"/>
                <w:sz w:val="28"/>
                <w:szCs w:val="28"/>
              </w:rPr>
            </w:pPr>
            <w:r>
              <w:rPr>
                <w:rFonts w:ascii="仿宋_GB2312" w:eastAsia="仿宋_GB2312" w:cs="ArialUnicodeMS" w:hint="eastAsia"/>
                <w:sz w:val="28"/>
                <w:szCs w:val="28"/>
              </w:rPr>
              <w:t>财</w:t>
            </w:r>
            <w:r>
              <w:rPr>
                <w:rFonts w:ascii="仿宋_GB2312" w:eastAsia="仿宋_GB2312" w:cs="ArialUnicodeMS"/>
                <w:sz w:val="28"/>
                <w:szCs w:val="28"/>
              </w:rPr>
              <w:t>政拨款</w:t>
            </w:r>
          </w:p>
        </w:tc>
      </w:tr>
    </w:tbl>
    <w:p w:rsidR="00CB17E8" w:rsidRPr="00CB17E8" w:rsidRDefault="00CB17E8">
      <w:pPr>
        <w:rPr>
          <w:rFonts w:asciiTheme="majorEastAsia" w:eastAsiaTheme="majorEastAsia" w:hAnsiTheme="majorEastAsia"/>
          <w:sz w:val="84"/>
          <w:szCs w:val="84"/>
        </w:rPr>
      </w:pPr>
    </w:p>
    <w:sectPr w:rsidR="00CB17E8" w:rsidRPr="00CB1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149" w:rsidRDefault="00147149" w:rsidP="00752C61">
      <w:r>
        <w:separator/>
      </w:r>
    </w:p>
  </w:endnote>
  <w:endnote w:type="continuationSeparator" w:id="0">
    <w:p w:rsidR="00147149" w:rsidRDefault="00147149" w:rsidP="00752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UnicodeMS">
    <w:altName w:val="Malgun Gothic"/>
    <w:charset w:val="81"/>
    <w:family w:val="auto"/>
    <w:pitch w:val="default"/>
    <w:sig w:usb0="00000000" w:usb1="00000000" w:usb2="00000010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149" w:rsidRDefault="00147149" w:rsidP="00752C61">
      <w:r>
        <w:separator/>
      </w:r>
    </w:p>
  </w:footnote>
  <w:footnote w:type="continuationSeparator" w:id="0">
    <w:p w:rsidR="00147149" w:rsidRDefault="00147149" w:rsidP="00752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C29"/>
    <w:rsid w:val="00147149"/>
    <w:rsid w:val="0030088C"/>
    <w:rsid w:val="003A7448"/>
    <w:rsid w:val="003F0F88"/>
    <w:rsid w:val="00520C29"/>
    <w:rsid w:val="006128A3"/>
    <w:rsid w:val="00752C61"/>
    <w:rsid w:val="007C1D86"/>
    <w:rsid w:val="007F6565"/>
    <w:rsid w:val="00985EAC"/>
    <w:rsid w:val="00CB17E8"/>
    <w:rsid w:val="00CD6D4F"/>
    <w:rsid w:val="00D3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6DF7B7-D4F5-4351-8604-FD85BC56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qFormat/>
    <w:rsid w:val="00CB17E8"/>
    <w:rPr>
      <w:kern w:val="0"/>
      <w:sz w:val="22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52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52C6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52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52C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9</cp:revision>
  <dcterms:created xsi:type="dcterms:W3CDTF">2020-10-16T08:18:00Z</dcterms:created>
  <dcterms:modified xsi:type="dcterms:W3CDTF">2020-11-11T07:29:00Z</dcterms:modified>
</cp:coreProperties>
</file>