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第一部分 东釜山乡部门</w:t>
      </w:r>
      <w:r>
        <w:rPr>
          <w:rFonts w:asciiTheme="majorEastAsia" w:hAnsiTheme="majorEastAsia" w:eastAsiaTheme="majorEastAsia"/>
          <w:b/>
          <w:sz w:val="44"/>
          <w:szCs w:val="44"/>
        </w:rPr>
        <w:t>概况</w:t>
      </w:r>
    </w:p>
    <w:p>
      <w:pPr>
        <w:ind w:firstLine="160" w:firstLineChars="5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一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主要职能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（一）在本行政区域内，保证宪法、法律、行政法规和乡人民代表大会及其常务委员会决议的遵守和执行；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（二）领导或者主持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乡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人民代表大会代表的选举；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（三）召集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乡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人民代表大会会议；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（四）讨论、决定本行政区域内的政治、经济、教育、科学、文化、 卫生、环境和资源保护、民政等工作的重大事项；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（五）根据乡人民政府的建议，决定对本行政区域内的国民经济和社会发展计划、预算的部分变更；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（六）监督乡人民政府的工作，联系乡人民代表大会代表，受理人民群众对上述机关和国家工作人员的申诉和意见；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（七）撤销乡人民代表大会及其常务委员会的不适当的决议；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（八）撤销乡人民政府的不适当的决定和命令；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（九）在乡人民代表大会闭会期间，决定副乡长的个别任免；在乡长因故不能担任职务时，从乡人民政府副职领导人员中决定代理的人选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并报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乡人民代表大会常务委员会批准；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（十）在乡人民代表大会闭会期间，决定撤销个别副乡长的职务；决定撤销由它任命的乡人民政府其他组成人员的职务； </w:t>
      </w:r>
    </w:p>
    <w:p>
      <w:pPr>
        <w:widowControl/>
        <w:spacing w:line="56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（十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一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）在乡人民代表大会闭会期间，补选乡人民代表大会出缺的代表和罢免个别代表； </w:t>
      </w:r>
    </w:p>
    <w:p>
      <w:pPr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（十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）决定授予地方的荣誉称号。</w:t>
      </w:r>
    </w:p>
    <w:p>
      <w:pPr>
        <w:ind w:firstLine="640" w:firstLineChars="200"/>
        <w:jc w:val="lef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二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机构设置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部门独立核算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机构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1个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，年末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实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有人数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42人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其中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在职人员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30人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，离休人员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，退休人员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11人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1.根据上述职责，东釜山乡人民政府设3个内设机构：</w:t>
      </w:r>
    </w:p>
    <w:p>
      <w:pPr>
        <w:widowControl/>
        <w:spacing w:line="560" w:lineRule="exact"/>
        <w:ind w:firstLine="64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党政办公室、综合文化服务中心、计划生育服务中心。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第二部分  东釜山乡2017年</w:t>
      </w:r>
      <w:r>
        <w:rPr>
          <w:rFonts w:asciiTheme="minorEastAsia" w:hAnsiTheme="minorEastAsia"/>
          <w:b/>
          <w:sz w:val="44"/>
          <w:szCs w:val="44"/>
        </w:rPr>
        <w:t>部门决算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 xml:space="preserve">       </w:t>
      </w:r>
      <w:r>
        <w:rPr>
          <w:rFonts w:asciiTheme="minorEastAsia" w:hAnsiTheme="minorEastAsia"/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一、2017年度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收入支出决算总体情况说明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本部门201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年收入总计1199.998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上年增长61.45%，增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456.74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,原因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今年人员经费及追加大型项目比去年增多，如双代工作、“三违”整治等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；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年支出总计1064.82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元，较上年增长34.27 %，增支271.76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原因：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今年人员经费及追加大型项目比去年增多，如双代工作、“三违”整治等；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年末结转结余135.09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二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2017年度收入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决算情况说明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部门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度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入总计1199.998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，其中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财政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拨款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入1199.895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较上年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增长61.61 %，增收457.45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万元，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主要原因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今年的追加项目和人员的经费都比去年有大幅增长；</w:t>
      </w:r>
      <w:bookmarkStart w:id="0" w:name="_Hlk536026015"/>
      <w:bookmarkStart w:id="1" w:name="_Hlk536026304"/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上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级补助收入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较上年增长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%，增收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0万元；事业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收入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较上年增长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%，增收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0万元0</w:t>
      </w:r>
      <w:bookmarkEnd w:id="0"/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；</w:t>
      </w:r>
      <w:bookmarkEnd w:id="1"/>
      <w:r>
        <w:rPr>
          <w:rFonts w:ascii="仿宋" w:hAnsi="仿宋" w:eastAsia="仿宋"/>
          <w:snapToGrid w:val="0"/>
          <w:kern w:val="0"/>
          <w:sz w:val="32"/>
          <w:szCs w:val="32"/>
        </w:rPr>
        <w:t>其他收入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0.1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较上年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减少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87.21%，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减少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0.7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主要原因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是银行存款的利息收入及其它的收入减少。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三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2017年度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支出决算情况说明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部门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度支出总计1064.82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元，其中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基本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支出404.15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占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总支出37.95%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；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项目支出660.67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占总支出62.05%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四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2017年度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财政拨款收入支出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决算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总体情况说明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部门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度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财政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拨款收入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总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计1199.895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年初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459.39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，占年初预算数的261.19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今年的追加项目较多(双代工作、“三违”整治等)。上年决算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数742.45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，较上年增长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61.61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%，增收457.45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主要原因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今年的追加项目((双代工作、“三违”整治等)和人员的经费都比去年有大幅增长。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本部门2017年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度财政拨款支出总计1064.81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年初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预算数为459.39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，占年初预算数的231.78%，主要原因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：今年的追加项目较多((双代工作、“三违”整治等)和人员经费较去年的大幅增长。上年决算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数793.06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增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长34.27%，增支271.76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主要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原因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是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今年的新增项目较多((双代工作、“三违”整治等)。   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本部门2017年年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末财政拨款结转结余135.09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五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2017年度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一般公共预算财政拨款“三公”经费支出决算情况说明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在做好各项工作的前提下，节省各项开支，尤其严格控制“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三公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经费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的支出，全年一般公共预算财政拨款“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三公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经费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支出合计11.93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万元，去年10.67万元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，比上年增长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11.81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1、</w:t>
      </w:r>
      <w:bookmarkStart w:id="2" w:name="_Hlk536024718"/>
      <w:r>
        <w:rPr>
          <w:rFonts w:ascii="仿宋" w:hAnsi="仿宋" w:eastAsia="仿宋"/>
          <w:snapToGrid w:val="0"/>
          <w:kern w:val="0"/>
          <w:sz w:val="32"/>
          <w:szCs w:val="32"/>
        </w:rPr>
        <w:t>本部门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2017年因公出国（境）费本年支出0万元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预算压减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，减少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2016年减少0万元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减少0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。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因公出国（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团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0个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，因公出国（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人次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数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。</w:t>
      </w:r>
      <w:bookmarkEnd w:id="2"/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       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                                           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、本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部门2017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度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公务用车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购置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及运行维护费本年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支出9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万元。（201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度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购置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公务用车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0辆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年末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公务用车保有量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3辆。）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bookmarkStart w:id="3" w:name="_Hlk536024006"/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公务用车购置费本年支出0万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；较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预算压减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，减少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%；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较201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年减少0万元，减少0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%。</w:t>
      </w:r>
    </w:p>
    <w:bookmarkEnd w:id="3"/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公务用车运行维护费本年支出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年初预算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减少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减少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；较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2016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年增加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1.43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万元，增加1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8.96%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，主要原因本年度气代煤项目公务用车维护费增加。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、本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部门2017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年公务接待费全年支出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2.93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年初预算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减少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0.07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减少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2.33%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；较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2016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年减少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0.17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万元，减少5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.49%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，主要原因按照中央八项规定压减支出 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国内公务接待批次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85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个，国内公务接待人次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733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人；国外公务接待批次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0个，国外公务接待人次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六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2017年度预算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绩效管理工作开展情况说明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/>
          <w:b/>
          <w:snapToGrid w:val="0"/>
          <w:kern w:val="0"/>
          <w:sz w:val="28"/>
          <w:szCs w:val="28"/>
        </w:rPr>
      </w:pPr>
      <w:r>
        <w:rPr>
          <w:rFonts w:hint="eastAsia" w:ascii="楷体_GB2312" w:hAnsi="黑体" w:eastAsia="楷体_GB2312"/>
          <w:b/>
          <w:snapToGrid w:val="0"/>
          <w:kern w:val="0"/>
          <w:sz w:val="32"/>
          <w:szCs w:val="32"/>
        </w:rPr>
        <w:t>（一）预算绩效管理工作开展情况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根据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财政厅预算绩效管理要求，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以“部门职责-工作活动”为依据，确定部门预算项目和预算额度，清晰描述预算项目开支范围和内容，确定预算项目的绩效目标、绩效指标和评价标准，为预算绩效控制、绩效分析、绩效评价打下好的基础。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仿宋" w:eastAsia="楷体_GB2312"/>
          <w:b/>
          <w:snapToGrid w:val="0"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snapToGrid w:val="0"/>
          <w:kern w:val="0"/>
          <w:sz w:val="32"/>
          <w:szCs w:val="32"/>
        </w:rPr>
        <w:t>（二）预算项目绩效评价开展情况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按照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区</w:t>
      </w:r>
      <w:bookmarkStart w:id="4" w:name="_GoBack"/>
      <w:bookmarkEnd w:id="4"/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财政厅预算绩效管理要求，东釜山乡对2017年初确定的部门一般公共预算支出项目全面开展了绩效自评。东釜山乡部门决算项目46项，共涉及预算资金660.67万元，绩效自评覆盖率达到100%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snapToGrid w:val="0"/>
          <w:kern w:val="0"/>
          <w:sz w:val="32"/>
          <w:szCs w:val="32"/>
        </w:rPr>
        <w:t>（三）预算项目绩效自评选例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“荒山绿化” 项目。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东釜山乡属于半山区，全乡13个村，植被覆盖率低，山体乱石裸露，需要加大力度对其进行整治，加强绿化，改善生态环境，提高人民生活质量。我乡在年初积极进行谋划，为荒山绿化项目提供资金保障，根据项目实际情况，设定新增绿地面积、绿化项目工程按期完工率是否达到90%以上；设定效果目标绿化工程合格率是否达到90%以上。绩效评价等级为“优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七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2017年度其他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重要事项的说明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、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机关运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经费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支出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情况说明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公共预算财政拨款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年本部门机关运行经费支出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55.14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万元，比201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年增加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7.01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万元，增加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14.56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%。主要原因是：2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增加暖气管道改造，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院内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花池改造等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年度公用经费总支出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55.14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万元，其中办公费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7.54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万元、印刷费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万元、水费0万元、电费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5.56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万元、邮电费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8.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43万元、取暖费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4.3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万元、差旅费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万元、维修（护）费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2.24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万元、会议费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万元、培训费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0.04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万元、公务接待费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2.93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万元、工会经费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万元、福利费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0.8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万元、公务用车运行维护费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6.69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万元、其他交通费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9.75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、政府采购情况说明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年政府采购预算总额为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99.13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万元，主要包括政府采购货物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47.13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万元，工程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52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万元及服务0万元。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2017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年本部门政府采购支出总额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97.91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万元，其中：政府采购货物支出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46.98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万元、政府采购工程支出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50.93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万元、政府采购服务支出0万元。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3、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国有资产占用情况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我单位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年末固定资产总额为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192.51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万元，主要包括房屋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1,419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平方米价值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59.5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万元，车辆3辆价值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25.56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万元，单价在</w:t>
      </w: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50万元以上的通用设备0万元，及其他固定资产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133.74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万元。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2017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年资产变动情况：固定资产增加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141.68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万元，包括房屋增加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万元,车辆增加0万元，单价在50万元以上的通用设备增加0万元，其他固定资产增加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141.68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4、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其他需要说明的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本部门无其他需要的说明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第三部分      名词</w:t>
      </w:r>
      <w:r>
        <w:rPr>
          <w:rFonts w:asciiTheme="minorEastAsia" w:hAnsiTheme="minorEastAsia"/>
          <w:b/>
          <w:sz w:val="44"/>
          <w:szCs w:val="44"/>
        </w:rPr>
        <w:t>解释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（一）财政拨款收入：本年度从本级财政部门取得的财政拨款，包括一般公共预算财政拨款和政府性基金预算财政拨款。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（二）其他收入：指除上述“财政拨款收入”、“事业收入”、“经营收入”等以外的收入。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（三）年初结转和结余：指以前年度尚未完成、结转到本年仍按原规定用途继续使用的资金，或项目已完成等产生的结余资金。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（四）年末结转和结余：指单位按有关规定结转到下年或以后年度继续使用的资金，或项目已完成等产生的结余资金。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（五）基本支出：填列单位为保障机构正常运转、完成日常工作任务而发生的各项支出。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（六）项目支出：填列单位为完成特定的行政工作任务或事业发展目标，在基本支出之外发生的各项支出。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 （九）其他交通费用：填列单位除公务用车运行维护费以外的其他交通费用。如飞机、船舶等的燃料费、维修费、过桥过路费、保险费、出租车费用、公务交通补贴等。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（十）公务用车购置：填列单位公务用车车辆购置支出（含车辆购置税）。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（十一）其他交通工具购置：填列单位除公务用车外的其他各类交通工具（如船舶、飞机）购置支出（含车辆购置税）。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（十二）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23F5"/>
    <w:rsid w:val="00057B78"/>
    <w:rsid w:val="00077A20"/>
    <w:rsid w:val="000E0E8E"/>
    <w:rsid w:val="000E340F"/>
    <w:rsid w:val="000F202D"/>
    <w:rsid w:val="001041EE"/>
    <w:rsid w:val="0013750C"/>
    <w:rsid w:val="001470C3"/>
    <w:rsid w:val="0015089B"/>
    <w:rsid w:val="00152908"/>
    <w:rsid w:val="001B1C80"/>
    <w:rsid w:val="001C673D"/>
    <w:rsid w:val="001C6D4E"/>
    <w:rsid w:val="001E68F2"/>
    <w:rsid w:val="00205825"/>
    <w:rsid w:val="00206322"/>
    <w:rsid w:val="00271CD8"/>
    <w:rsid w:val="002D19B4"/>
    <w:rsid w:val="003079D1"/>
    <w:rsid w:val="003277A3"/>
    <w:rsid w:val="00344AD5"/>
    <w:rsid w:val="00356D74"/>
    <w:rsid w:val="00372DF7"/>
    <w:rsid w:val="003803F4"/>
    <w:rsid w:val="00390D5C"/>
    <w:rsid w:val="003C43DC"/>
    <w:rsid w:val="003F0B48"/>
    <w:rsid w:val="003F3B34"/>
    <w:rsid w:val="003F430A"/>
    <w:rsid w:val="004032E3"/>
    <w:rsid w:val="00405FFE"/>
    <w:rsid w:val="00451D88"/>
    <w:rsid w:val="00471A6A"/>
    <w:rsid w:val="004E1D30"/>
    <w:rsid w:val="004F4613"/>
    <w:rsid w:val="00516961"/>
    <w:rsid w:val="005224B1"/>
    <w:rsid w:val="00554469"/>
    <w:rsid w:val="0055660C"/>
    <w:rsid w:val="0058572E"/>
    <w:rsid w:val="00585826"/>
    <w:rsid w:val="005A02B7"/>
    <w:rsid w:val="005B3169"/>
    <w:rsid w:val="005D3382"/>
    <w:rsid w:val="005D581E"/>
    <w:rsid w:val="0060361A"/>
    <w:rsid w:val="006115CA"/>
    <w:rsid w:val="00663583"/>
    <w:rsid w:val="00672A2F"/>
    <w:rsid w:val="00674EC2"/>
    <w:rsid w:val="006B564B"/>
    <w:rsid w:val="006E71D0"/>
    <w:rsid w:val="006F7F45"/>
    <w:rsid w:val="00711F52"/>
    <w:rsid w:val="00791B38"/>
    <w:rsid w:val="007A435C"/>
    <w:rsid w:val="008026BF"/>
    <w:rsid w:val="0082704B"/>
    <w:rsid w:val="00841BC9"/>
    <w:rsid w:val="008423F5"/>
    <w:rsid w:val="00842CBB"/>
    <w:rsid w:val="008711E4"/>
    <w:rsid w:val="008D43CC"/>
    <w:rsid w:val="009028C2"/>
    <w:rsid w:val="00910571"/>
    <w:rsid w:val="00923A35"/>
    <w:rsid w:val="00933524"/>
    <w:rsid w:val="00933E1C"/>
    <w:rsid w:val="00945D0B"/>
    <w:rsid w:val="00985214"/>
    <w:rsid w:val="009B74FB"/>
    <w:rsid w:val="00A372C2"/>
    <w:rsid w:val="00A609A3"/>
    <w:rsid w:val="00AA21A2"/>
    <w:rsid w:val="00AE2124"/>
    <w:rsid w:val="00AE6082"/>
    <w:rsid w:val="00B005DA"/>
    <w:rsid w:val="00B11B63"/>
    <w:rsid w:val="00B17297"/>
    <w:rsid w:val="00B408DE"/>
    <w:rsid w:val="00B40ED6"/>
    <w:rsid w:val="00B64EAD"/>
    <w:rsid w:val="00B72222"/>
    <w:rsid w:val="00B732AF"/>
    <w:rsid w:val="00BB1D33"/>
    <w:rsid w:val="00C053A5"/>
    <w:rsid w:val="00C222CB"/>
    <w:rsid w:val="00C72836"/>
    <w:rsid w:val="00C82568"/>
    <w:rsid w:val="00C82853"/>
    <w:rsid w:val="00CA2480"/>
    <w:rsid w:val="00CB45AA"/>
    <w:rsid w:val="00CE3F40"/>
    <w:rsid w:val="00D6325B"/>
    <w:rsid w:val="00D9008B"/>
    <w:rsid w:val="00D96FB4"/>
    <w:rsid w:val="00DA73F0"/>
    <w:rsid w:val="00DB3197"/>
    <w:rsid w:val="00DB7E7C"/>
    <w:rsid w:val="00DC5EA2"/>
    <w:rsid w:val="00DD4578"/>
    <w:rsid w:val="00E71A30"/>
    <w:rsid w:val="00E766ED"/>
    <w:rsid w:val="00E87C53"/>
    <w:rsid w:val="00F00F83"/>
    <w:rsid w:val="00F07A36"/>
    <w:rsid w:val="00F46674"/>
    <w:rsid w:val="00F6138D"/>
    <w:rsid w:val="00F7078F"/>
    <w:rsid w:val="00FB738F"/>
    <w:rsid w:val="00FF0C98"/>
    <w:rsid w:val="064A3FAD"/>
    <w:rsid w:val="0B6A15E4"/>
    <w:rsid w:val="0D6054DA"/>
    <w:rsid w:val="1AF90D88"/>
    <w:rsid w:val="1F545778"/>
    <w:rsid w:val="2A0331BE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8</Pages>
  <Words>618</Words>
  <Characters>3524</Characters>
  <Lines>29</Lines>
  <Paragraphs>8</Paragraphs>
  <TotalTime>417</TotalTime>
  <ScaleCrop>false</ScaleCrop>
  <LinksUpToDate>false</LinksUpToDate>
  <CharactersWithSpaces>4134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2015-11-03T02:02:00Z</dcterms:created>
  <dc:creator>yuanxiaowei</dc:creator>
  <cp:lastModifiedBy>帆</cp:lastModifiedBy>
  <cp:lastPrinted>2018-10-30T03:50:00Z</cp:lastPrinted>
  <dcterms:modified xsi:type="dcterms:W3CDTF">2019-03-09T11:44:10Z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