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bookmarkStart w:id="0" w:name="_GoBack"/>
      <w:r>
        <w:rPr>
          <w:rFonts w:hint="eastAsia" w:ascii="黑体" w:hAnsi="黑体" w:eastAsia="黑体" w:cs="Helvetica"/>
          <w:color w:val="3E3E3E"/>
          <w:sz w:val="33"/>
          <w:szCs w:val="33"/>
        </w:rPr>
        <w:t>宣传部决算公开目录</w:t>
      </w:r>
    </w:p>
    <w:bookmarkEnd w:id="0"/>
    <w:p>
      <w:pPr>
        <w:pStyle w:val="2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5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宣传部概况</w:t>
      </w:r>
    </w:p>
    <w:p>
      <w:pPr>
        <w:pStyle w:val="2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一、部门职责</w:t>
      </w:r>
    </w:p>
    <w:p>
      <w:pPr>
        <w:pStyle w:val="2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二、部门决算单位构成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宣传部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2017年度部门决算报表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五、一般公共预算财政拨款收入支出决算表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六、一般公共预算财政拨款基本支出决算表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七、政府性基金预算财政拨款收入支出决算表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八、国有资本经营预算财政拨款收入支出决算表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九、“三公”经费等相关信息统计表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十、政府采购情况表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宣传部2017年部门决算情况说明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一、收入支出决算总体情况说明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四、财政拨款收入支出决算总体情况说明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五、一般公共预算财政拨款“三公”经费支出决算情况说明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六、预算绩效管理工作开展情况说明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七、其他重要事项的说明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1、机关运行经费支出情况说明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2、政府采购情况说明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3、国有资产占用情况</w:t>
      </w:r>
    </w:p>
    <w:p>
      <w:pPr>
        <w:pStyle w:val="2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4、其他需要说明的情况</w:t>
      </w:r>
    </w:p>
    <w:p>
      <w:pPr>
        <w:pStyle w:val="2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名词解释</w:t>
      </w:r>
    </w:p>
    <w:p>
      <w:pPr>
        <w:pStyle w:val="2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对专业性较强的名词进行解释（比如：一般公共预算财政拨款收入、事业收入、基本支出、项目支出等，详见名词解释附件）</w:t>
      </w:r>
    </w:p>
    <w:p>
      <w:pPr>
        <w:pStyle w:val="2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2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sectPr>
          <w:pgSz w:w="11906" w:h="16838"/>
          <w:pgMar w:top="2041" w:right="1304" w:bottom="187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上级文件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文件、方案、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作证材料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eastAsia="zh-CN"/>
        </w:rPr>
        <w:t>上级文件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文件、方案、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作证材料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 xml:space="preserve">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>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84"/>
          <w:szCs w:val="84"/>
          <w:lang w:val="en-US" w:eastAsia="zh-CN"/>
        </w:rPr>
        <w:t xml:space="preserve">神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2041" w:right="130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36234"/>
    <w:rsid w:val="05DD43E4"/>
    <w:rsid w:val="0F3F3897"/>
    <w:rsid w:val="17294AA2"/>
    <w:rsid w:val="2CFA3DA9"/>
    <w:rsid w:val="2D3C05B3"/>
    <w:rsid w:val="2F4D567D"/>
    <w:rsid w:val="34C97420"/>
    <w:rsid w:val="394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2018-11-06T02:00:00Z</cp:lastPrinted>
  <dcterms:modified xsi:type="dcterms:W3CDTF">2018-11-07T06:51:23Z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