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91" w:rsidRDefault="000D0E91" w:rsidP="000D0E91">
      <w:pPr>
        <w:pStyle w:val="a3"/>
        <w:spacing w:before="0" w:beforeAutospacing="0" w:after="0" w:afterAutospacing="0" w:line="384" w:lineRule="atLeast"/>
        <w:ind w:firstLine="600"/>
        <w:jc w:val="center"/>
        <w:rPr>
          <w:rFonts w:ascii="Helvetica" w:hAnsi="Helvetica" w:cs="Helvetica"/>
          <w:color w:val="3E3E3E"/>
        </w:rPr>
      </w:pPr>
      <w:r>
        <w:rPr>
          <w:rFonts w:ascii="黑体" w:eastAsia="黑体" w:hAnsi="黑体" w:cs="Helvetica" w:hint="eastAsia"/>
          <w:color w:val="3E3E3E"/>
          <w:sz w:val="33"/>
          <w:szCs w:val="33"/>
        </w:rPr>
        <w:t>部门决算公开目录</w:t>
      </w:r>
    </w:p>
    <w:p w:rsidR="000D0E91" w:rsidRDefault="000D0E91" w:rsidP="000D0E91">
      <w:pPr>
        <w:pStyle w:val="a3"/>
        <w:spacing w:before="0" w:beforeAutospacing="0" w:after="0" w:afterAutospacing="0" w:line="384" w:lineRule="atLeast"/>
        <w:ind w:firstLine="885"/>
        <w:rPr>
          <w:rFonts w:ascii="Helvetica" w:hAnsi="Helvetica" w:cs="Helvetica"/>
          <w:color w:val="3E3E3E"/>
        </w:rPr>
      </w:pPr>
      <w:r>
        <w:rPr>
          <w:rFonts w:hint="eastAsia"/>
          <w:color w:val="3E3E3E"/>
          <w:sz w:val="29"/>
          <w:szCs w:val="29"/>
        </w:rPr>
        <w:t> </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第一部分</w:t>
      </w:r>
      <w:r>
        <w:rPr>
          <w:rStyle w:val="apple-converted-space"/>
          <w:rFonts w:hint="eastAsia"/>
          <w:color w:val="3E3E3E"/>
          <w:sz w:val="27"/>
          <w:szCs w:val="27"/>
        </w:rPr>
        <w:t> </w:t>
      </w:r>
      <w:r w:rsidR="00071338">
        <w:rPr>
          <w:rFonts w:hint="eastAsia"/>
          <w:color w:val="3E3E3E"/>
          <w:sz w:val="27"/>
          <w:szCs w:val="27"/>
        </w:rPr>
        <w:t> </w:t>
      </w:r>
      <w:r w:rsidR="00071338">
        <w:rPr>
          <w:rFonts w:ascii="黑体" w:eastAsia="黑体" w:hAnsi="黑体" w:cs="Helvetica" w:hint="eastAsia"/>
          <w:color w:val="3E3E3E"/>
          <w:sz w:val="27"/>
          <w:szCs w:val="27"/>
        </w:rPr>
        <w:t>统计</w:t>
      </w:r>
      <w:r w:rsidR="006A2E82">
        <w:rPr>
          <w:rFonts w:ascii="黑体" w:eastAsia="黑体" w:hAnsi="黑体" w:cs="Helvetica" w:hint="eastAsia"/>
          <w:color w:val="3E3E3E"/>
          <w:sz w:val="27"/>
          <w:szCs w:val="27"/>
        </w:rPr>
        <w:t>局</w:t>
      </w:r>
      <w:r>
        <w:rPr>
          <w:rFonts w:ascii="黑体" w:eastAsia="黑体" w:hAnsi="黑体" w:cs="Helvetica" w:hint="eastAsia"/>
          <w:color w:val="3E3E3E"/>
          <w:sz w:val="27"/>
          <w:szCs w:val="27"/>
        </w:rPr>
        <w:t>部门概况</w:t>
      </w:r>
    </w:p>
    <w:p w:rsidR="000D0E91" w:rsidRDefault="000D0E91" w:rsidP="000D0E91">
      <w:pPr>
        <w:pStyle w:val="a3"/>
        <w:spacing w:before="0" w:beforeAutospacing="0" w:after="0" w:afterAutospacing="0" w:line="384" w:lineRule="atLeast"/>
        <w:ind w:firstLine="1110"/>
        <w:rPr>
          <w:rFonts w:ascii="Helvetica" w:hAnsi="Helvetica" w:cs="Helvetica"/>
          <w:color w:val="3E3E3E"/>
        </w:rPr>
      </w:pPr>
      <w:r>
        <w:rPr>
          <w:rFonts w:ascii="仿宋_GB2312" w:eastAsia="仿宋_GB2312" w:hAnsi="Helvetica" w:cs="Helvetica" w:hint="eastAsia"/>
          <w:color w:val="3E3E3E"/>
          <w:sz w:val="27"/>
          <w:szCs w:val="27"/>
        </w:rPr>
        <w:t>一、部门职责</w:t>
      </w:r>
    </w:p>
    <w:p w:rsidR="000D0E91" w:rsidRDefault="000D0E91" w:rsidP="000D0E91">
      <w:pPr>
        <w:pStyle w:val="a3"/>
        <w:spacing w:before="0" w:beforeAutospacing="0" w:after="0" w:afterAutospacing="0" w:line="384" w:lineRule="atLeast"/>
        <w:ind w:firstLine="1110"/>
        <w:rPr>
          <w:rFonts w:ascii="Helvetica" w:hAnsi="Helvetica" w:cs="Helvetica"/>
          <w:color w:val="3E3E3E"/>
        </w:rPr>
      </w:pPr>
      <w:r>
        <w:rPr>
          <w:rFonts w:ascii="仿宋_GB2312" w:eastAsia="仿宋_GB2312" w:hAnsi="Helvetica" w:cs="Helvetica" w:hint="eastAsia"/>
          <w:color w:val="3E3E3E"/>
          <w:sz w:val="27"/>
          <w:szCs w:val="27"/>
        </w:rPr>
        <w:t>二、部门决算单位构成</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第二部分 </w:t>
      </w:r>
      <w:r>
        <w:rPr>
          <w:rFonts w:hint="eastAsia"/>
          <w:color w:val="3E3E3E"/>
          <w:sz w:val="27"/>
          <w:szCs w:val="27"/>
        </w:rPr>
        <w:t> </w:t>
      </w:r>
      <w:r w:rsidR="00071338">
        <w:rPr>
          <w:rFonts w:ascii="黑体" w:eastAsia="黑体" w:hAnsi="黑体" w:cs="Helvetica" w:hint="eastAsia"/>
          <w:color w:val="3E3E3E"/>
          <w:sz w:val="27"/>
          <w:szCs w:val="27"/>
        </w:rPr>
        <w:t>统计</w:t>
      </w:r>
      <w:r w:rsidR="006A2E82">
        <w:rPr>
          <w:rFonts w:ascii="黑体" w:eastAsia="黑体" w:hAnsi="黑体" w:cs="Helvetica" w:hint="eastAsia"/>
          <w:color w:val="3E3E3E"/>
          <w:sz w:val="27"/>
          <w:szCs w:val="27"/>
        </w:rPr>
        <w:t>局</w:t>
      </w:r>
      <w:r>
        <w:rPr>
          <w:rFonts w:ascii="黑体" w:eastAsia="黑体" w:hAnsi="黑体" w:cs="Helvetica" w:hint="eastAsia"/>
          <w:color w:val="3E3E3E"/>
          <w:sz w:val="27"/>
          <w:szCs w:val="27"/>
        </w:rPr>
        <w:t>部门</w:t>
      </w:r>
      <w:r w:rsidR="000652F9">
        <w:rPr>
          <w:rFonts w:ascii="黑体" w:eastAsia="黑体" w:hAnsi="黑体" w:cs="Helvetica" w:hint="eastAsia"/>
          <w:color w:val="3E3E3E"/>
          <w:sz w:val="27"/>
          <w:szCs w:val="27"/>
        </w:rPr>
        <w:t>2</w:t>
      </w:r>
      <w:r w:rsidR="007C3C0D">
        <w:rPr>
          <w:rFonts w:ascii="黑体" w:eastAsia="黑体" w:hAnsi="黑体" w:cs="Helvetica" w:hint="eastAsia"/>
          <w:color w:val="3E3E3E"/>
          <w:sz w:val="27"/>
          <w:szCs w:val="27"/>
        </w:rPr>
        <w:t>017</w:t>
      </w:r>
      <w:r>
        <w:rPr>
          <w:rFonts w:ascii="黑体" w:eastAsia="黑体" w:hAnsi="黑体" w:cs="Helvetica" w:hint="eastAsia"/>
          <w:color w:val="3E3E3E"/>
          <w:sz w:val="27"/>
          <w:szCs w:val="27"/>
        </w:rPr>
        <w:t>年度部门决算报表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五、一般公共预算财政拨款</w:t>
      </w:r>
      <w:r w:rsidR="00351BBD">
        <w:rPr>
          <w:rFonts w:ascii="仿宋_GB2312" w:eastAsia="仿宋_GB2312" w:hAnsi="Helvetica" w:cs="Helvetica" w:hint="eastAsia"/>
          <w:color w:val="3E3E3E"/>
          <w:sz w:val="27"/>
          <w:szCs w:val="27"/>
        </w:rPr>
        <w:t>收入</w:t>
      </w:r>
      <w:r>
        <w:rPr>
          <w:rFonts w:ascii="仿宋_GB2312" w:eastAsia="仿宋_GB2312" w:hAnsi="Helvetica" w:cs="Helvetica" w:hint="eastAsia"/>
          <w:color w:val="3E3E3E"/>
          <w:sz w:val="27"/>
          <w:szCs w:val="27"/>
        </w:rPr>
        <w:t>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六、一般公共预算财政拨款基本支出决算表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七、政府性基金预算财政拨款收入支出决算表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八、国有资本经营预算财政拨款收入支出决算表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九、“三公”经费等相关信息统计表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十、政府采购情况表</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第三部分 </w:t>
      </w:r>
      <w:r>
        <w:rPr>
          <w:rFonts w:hint="eastAsia"/>
          <w:color w:val="3E3E3E"/>
          <w:sz w:val="27"/>
          <w:szCs w:val="27"/>
        </w:rPr>
        <w:t> </w:t>
      </w:r>
      <w:r w:rsidR="00071338">
        <w:rPr>
          <w:rFonts w:ascii="黑体" w:eastAsia="黑体" w:hAnsi="黑体" w:cs="Helvetica" w:hint="eastAsia"/>
          <w:color w:val="3E3E3E"/>
          <w:sz w:val="27"/>
          <w:szCs w:val="27"/>
        </w:rPr>
        <w:t>统计</w:t>
      </w:r>
      <w:bookmarkStart w:id="0" w:name="_GoBack"/>
      <w:bookmarkEnd w:id="0"/>
      <w:r w:rsidR="006A2E82">
        <w:rPr>
          <w:rFonts w:ascii="黑体" w:eastAsia="黑体" w:hAnsi="黑体" w:cs="Helvetica" w:hint="eastAsia"/>
          <w:color w:val="3E3E3E"/>
          <w:sz w:val="27"/>
          <w:szCs w:val="27"/>
        </w:rPr>
        <w:t>局</w:t>
      </w:r>
      <w:r>
        <w:rPr>
          <w:rFonts w:ascii="黑体" w:eastAsia="黑体" w:hAnsi="黑体" w:cs="Helvetica" w:hint="eastAsia"/>
          <w:color w:val="3E3E3E"/>
          <w:sz w:val="27"/>
          <w:szCs w:val="27"/>
        </w:rPr>
        <w:t>部门</w:t>
      </w:r>
      <w:r w:rsidR="007C3C0D">
        <w:rPr>
          <w:rFonts w:ascii="黑体" w:eastAsia="黑体" w:hAnsi="黑体" w:cs="Helvetica" w:hint="eastAsia"/>
          <w:color w:val="3E3E3E"/>
          <w:sz w:val="27"/>
          <w:szCs w:val="27"/>
        </w:rPr>
        <w:t>2017</w:t>
      </w:r>
      <w:r>
        <w:rPr>
          <w:rFonts w:ascii="黑体" w:eastAsia="黑体" w:hAnsi="黑体" w:cs="Helvetica" w:hint="eastAsia"/>
          <w:color w:val="3E3E3E"/>
          <w:sz w:val="27"/>
          <w:szCs w:val="27"/>
        </w:rPr>
        <w:t>年部门决算情况说明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w:t>
      </w:r>
      <w:r w:rsidR="000652F9">
        <w:rPr>
          <w:rFonts w:ascii="仿宋_GB2312" w:eastAsia="仿宋_GB2312" w:hAnsi="Helvetica" w:cs="Helvetica" w:hint="eastAsia"/>
          <w:color w:val="3E3E3E"/>
          <w:sz w:val="27"/>
          <w:szCs w:val="27"/>
        </w:rPr>
        <w:t>一般公共预算财政拨款</w:t>
      </w:r>
      <w:r>
        <w:rPr>
          <w:rFonts w:ascii="仿宋_GB2312" w:eastAsia="仿宋_GB2312" w:hAnsi="Helvetica" w:cs="Helvetica" w:hint="eastAsia"/>
          <w:color w:val="3E3E3E"/>
          <w:sz w:val="27"/>
          <w:szCs w:val="27"/>
        </w:rPr>
        <w:t>“三公”经费支出决算情况说明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lastRenderedPageBreak/>
        <w:t>六、预算绩效管理工作开展情况说明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七、其他重要事项的说明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1、机关运行经费</w:t>
      </w:r>
      <w:r w:rsidR="00351BBD">
        <w:rPr>
          <w:rFonts w:ascii="仿宋_GB2312" w:eastAsia="仿宋_GB2312" w:hAnsi="Helvetica" w:cs="Helvetica" w:hint="eastAsia"/>
          <w:color w:val="3E3E3E"/>
          <w:sz w:val="27"/>
          <w:szCs w:val="27"/>
        </w:rPr>
        <w:t>支出</w:t>
      </w:r>
      <w:r>
        <w:rPr>
          <w:rFonts w:ascii="仿宋_GB2312" w:eastAsia="仿宋_GB2312" w:hAnsi="Helvetica" w:cs="Helvetica" w:hint="eastAsia"/>
          <w:color w:val="3E3E3E"/>
          <w:sz w:val="27"/>
          <w:szCs w:val="27"/>
        </w:rPr>
        <w:t>情况</w:t>
      </w:r>
      <w:r w:rsidR="00351BBD">
        <w:rPr>
          <w:rFonts w:ascii="仿宋_GB2312" w:eastAsia="仿宋_GB2312" w:hAnsi="Helvetica" w:cs="Helvetica" w:hint="eastAsia"/>
          <w:color w:val="3E3E3E"/>
          <w:sz w:val="27"/>
          <w:szCs w:val="27"/>
        </w:rPr>
        <w:t>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2、政府采购情况</w:t>
      </w:r>
      <w:r w:rsidR="00351BBD">
        <w:rPr>
          <w:rFonts w:ascii="仿宋_GB2312" w:eastAsia="仿宋_GB2312" w:hAnsi="Helvetica" w:cs="Helvetica" w:hint="eastAsia"/>
          <w:color w:val="3E3E3E"/>
          <w:sz w:val="27"/>
          <w:szCs w:val="27"/>
        </w:rPr>
        <w:t>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3、国有资产占用情况</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4、其他需要说明的情况</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第四部分 </w:t>
      </w:r>
      <w:r>
        <w:rPr>
          <w:rFonts w:hint="eastAsia"/>
          <w:color w:val="3E3E3E"/>
          <w:sz w:val="27"/>
          <w:szCs w:val="27"/>
        </w:rPr>
        <w:t> </w:t>
      </w:r>
      <w:r>
        <w:rPr>
          <w:rFonts w:ascii="黑体" w:eastAsia="黑体" w:hAnsi="黑体" w:cs="Helvetica" w:hint="eastAsia"/>
          <w:color w:val="3E3E3E"/>
          <w:sz w:val="27"/>
          <w:szCs w:val="27"/>
        </w:rPr>
        <w:t>名词解释</w:t>
      </w:r>
    </w:p>
    <w:p w:rsidR="0058129B" w:rsidRDefault="0058129B"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hint="eastAsia"/>
          <w:color w:val="3E3E3E"/>
          <w:sz w:val="27"/>
          <w:szCs w:val="27"/>
        </w:rPr>
      </w:pPr>
    </w:p>
    <w:p w:rsidR="00C22662" w:rsidRDefault="00C22662" w:rsidP="00C22662">
      <w:pPr>
        <w:pStyle w:val="a3"/>
        <w:spacing w:before="0" w:beforeAutospacing="0" w:after="0" w:afterAutospacing="0" w:line="384" w:lineRule="atLeast"/>
        <w:ind w:firstLine="195"/>
        <w:jc w:val="center"/>
        <w:rPr>
          <w:rFonts w:ascii="Helvetica" w:hAnsi="Helvetica" w:cs="Helvetica"/>
          <w:color w:val="3E3E3E"/>
        </w:rPr>
      </w:pPr>
      <w:r>
        <w:rPr>
          <w:rFonts w:ascii="黑体" w:eastAsia="黑体" w:hAnsi="黑体" w:cs="Helvetica" w:hint="eastAsia"/>
          <w:color w:val="3E3E3E"/>
          <w:sz w:val="33"/>
          <w:szCs w:val="33"/>
        </w:rPr>
        <w:lastRenderedPageBreak/>
        <w:t>相关名词解释</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color w:val="3E3E3E"/>
          <w:sz w:val="29"/>
          <w:szCs w:val="29"/>
        </w:rPr>
        <w:t> </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（一）财政拨款收入：本年度从本级财政部门取得的财政拨款，包括一般公共预算财政拨款和政府性基金预算财政拨款。</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（二）事业收入：指事业单位开展专业业务活动及辅助活动所取得的收入。</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（三）其他收入：指除上述“财政拨款收入”、“事业收入”、“经营收入”等以外的收入。</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（五）年初结转和结余：指以前年度尚未完成、结转到本年仍按原规定用途继续使用的资金，或项目已完成等产生的结余资金。</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（六）结余分配：指事业单位按照事业单位会计制度的规定从非财政补助结余中分配的事业基金和职工福利基金等。</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（七）年末结转和结余：指单位按有关规定结转到下年或以后年度继续使用的资金，或项目已完成等产生的结余资金。</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（八）基本支出：填列单位为保障机构正常运转、完成日常工作任务而发生的各项支出。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lastRenderedPageBreak/>
        <w:t>（九）项目支出：填列单位为完成特定的行政工作任务或事业发展目标，在基本支出之外发生的各项支出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（十一）其他资本性支出：填列由各级非发展与改革部门集中安排的用于购置固定资产、战备性和应急性储备、土地和无形资产，以及购建基础设施、大型修缮和财政支持企业更新改造所发生的支出。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（十二）“三公”经费：指部门用财政拨款安排的因公出国（境）费、公务用车购置及运行费和公务接待费。其中，因公出国（境）</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单位公务出国（境）的国际旅费、国外城市间交通费、住宿费、伙食费、培训费、公杂费等支出；公务用车购置及运行</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单位公务用车购置支出（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购置税）及租用费、燃料费、维修费、过路过桥费、保险费、安全奖励费用等支出；公务接待</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单位按规定开支的各类公务接待（含外宾接待）支出。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color w:val="3E3E3E"/>
          <w:sz w:val="27"/>
          <w:szCs w:val="27"/>
        </w:rPr>
        <w:t>  </w:t>
      </w:r>
      <w:r>
        <w:rPr>
          <w:rFonts w:ascii="仿宋_GB2312" w:eastAsia="仿宋_GB2312" w:hAnsi="Helvetica" w:cs="Helvetica" w:hint="eastAsia"/>
          <w:color w:val="3E3E3E"/>
          <w:sz w:val="27"/>
          <w:szCs w:val="27"/>
        </w:rPr>
        <w:t>（十三）其他交通费用：填列单位除公务用车运行维护费以外的其他交通费用。如飞机、船舶等的燃料费、维修费、过桥过路费、保险费、出租车费用、公务交通补贴等。</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（十四）公务用车购置：填列单位公务用车车辆购置支出（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lastRenderedPageBreak/>
        <w:t>（十五）其他交通工具购置：填列单位除公务用车外的其他各类交通工具（如船舶、飞机）购置支出（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22662" w:rsidRDefault="00C22662" w:rsidP="00C22662">
      <w:pPr>
        <w:pStyle w:val="a3"/>
        <w:spacing w:before="0" w:beforeAutospacing="0" w:after="0" w:afterAutospacing="0" w:line="384" w:lineRule="atLeast"/>
        <w:ind w:firstLine="600"/>
        <w:jc w:val="center"/>
        <w:rPr>
          <w:rFonts w:ascii="Helvetica" w:hAnsi="Helvetica" w:cs="Helvetica"/>
          <w:color w:val="3E3E3E"/>
        </w:rPr>
      </w:pPr>
    </w:p>
    <w:p w:rsidR="00C22662" w:rsidRDefault="00C22662" w:rsidP="00C22662">
      <w:pPr>
        <w:pStyle w:val="a3"/>
        <w:spacing w:before="0" w:beforeAutospacing="0" w:after="0" w:afterAutospacing="0" w:line="384" w:lineRule="atLeast"/>
        <w:ind w:firstLine="195"/>
        <w:jc w:val="center"/>
        <w:rPr>
          <w:rFonts w:ascii="Helvetica" w:hAnsi="Helvetica" w:cs="Helvetica"/>
          <w:color w:val="3E3E3E"/>
        </w:rPr>
      </w:pPr>
    </w:p>
    <w:p w:rsidR="00C22662" w:rsidRDefault="00C22662" w:rsidP="00C22662"/>
    <w:p w:rsidR="00C22662" w:rsidRPr="00C22662" w:rsidRDefault="00C22662" w:rsidP="006A2E82">
      <w:pPr>
        <w:pStyle w:val="a3"/>
        <w:spacing w:before="0" w:beforeAutospacing="0" w:after="0" w:afterAutospacing="0" w:line="384" w:lineRule="atLeast"/>
        <w:ind w:firstLine="195"/>
        <w:rPr>
          <w:rFonts w:ascii="Helvetica" w:hAnsi="Helvetica" w:cs="Helvetica"/>
          <w:color w:val="3E3E3E"/>
        </w:rPr>
      </w:pPr>
    </w:p>
    <w:sectPr w:rsidR="00C22662" w:rsidRPr="00C22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F9" w:rsidRDefault="000652F9" w:rsidP="000652F9">
      <w:r>
        <w:separator/>
      </w:r>
    </w:p>
  </w:endnote>
  <w:endnote w:type="continuationSeparator" w:id="0">
    <w:p w:rsidR="000652F9" w:rsidRDefault="000652F9" w:rsidP="0006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F9" w:rsidRDefault="000652F9" w:rsidP="000652F9">
      <w:r>
        <w:separator/>
      </w:r>
    </w:p>
  </w:footnote>
  <w:footnote w:type="continuationSeparator" w:id="0">
    <w:p w:rsidR="000652F9" w:rsidRDefault="000652F9" w:rsidP="00065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60"/>
    <w:rsid w:val="000652F9"/>
    <w:rsid w:val="00071338"/>
    <w:rsid w:val="000D0E91"/>
    <w:rsid w:val="00120D55"/>
    <w:rsid w:val="00214C00"/>
    <w:rsid w:val="00351BBD"/>
    <w:rsid w:val="0058129B"/>
    <w:rsid w:val="006A2E82"/>
    <w:rsid w:val="007C3C0D"/>
    <w:rsid w:val="00BB7A93"/>
    <w:rsid w:val="00C22662"/>
    <w:rsid w:val="00EF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0E91"/>
    <w:rPr>
      <w:b/>
      <w:bCs/>
    </w:rPr>
  </w:style>
  <w:style w:type="character" w:customStyle="1" w:styleId="apple-converted-space">
    <w:name w:val="apple-converted-space"/>
    <w:basedOn w:val="a0"/>
    <w:rsid w:val="000D0E91"/>
  </w:style>
  <w:style w:type="paragraph" w:styleId="a5">
    <w:name w:val="header"/>
    <w:basedOn w:val="a"/>
    <w:link w:val="Char"/>
    <w:uiPriority w:val="99"/>
    <w:unhideWhenUsed/>
    <w:rsid w:val="0006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52F9"/>
    <w:rPr>
      <w:sz w:val="18"/>
      <w:szCs w:val="18"/>
    </w:rPr>
  </w:style>
  <w:style w:type="paragraph" w:styleId="a6">
    <w:name w:val="footer"/>
    <w:basedOn w:val="a"/>
    <w:link w:val="Char0"/>
    <w:uiPriority w:val="99"/>
    <w:unhideWhenUsed/>
    <w:rsid w:val="000652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52F9"/>
    <w:rPr>
      <w:sz w:val="18"/>
      <w:szCs w:val="18"/>
    </w:rPr>
  </w:style>
  <w:style w:type="paragraph" w:styleId="a7">
    <w:name w:val="Balloon Text"/>
    <w:basedOn w:val="a"/>
    <w:link w:val="Char1"/>
    <w:uiPriority w:val="99"/>
    <w:semiHidden/>
    <w:unhideWhenUsed/>
    <w:rsid w:val="000652F9"/>
    <w:rPr>
      <w:sz w:val="18"/>
      <w:szCs w:val="18"/>
    </w:rPr>
  </w:style>
  <w:style w:type="character" w:customStyle="1" w:styleId="Char1">
    <w:name w:val="批注框文本 Char"/>
    <w:basedOn w:val="a0"/>
    <w:link w:val="a7"/>
    <w:uiPriority w:val="99"/>
    <w:semiHidden/>
    <w:rsid w:val="000652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0E91"/>
    <w:rPr>
      <w:b/>
      <w:bCs/>
    </w:rPr>
  </w:style>
  <w:style w:type="character" w:customStyle="1" w:styleId="apple-converted-space">
    <w:name w:val="apple-converted-space"/>
    <w:basedOn w:val="a0"/>
    <w:rsid w:val="000D0E91"/>
  </w:style>
  <w:style w:type="paragraph" w:styleId="a5">
    <w:name w:val="header"/>
    <w:basedOn w:val="a"/>
    <w:link w:val="Char"/>
    <w:uiPriority w:val="99"/>
    <w:unhideWhenUsed/>
    <w:rsid w:val="0006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52F9"/>
    <w:rPr>
      <w:sz w:val="18"/>
      <w:szCs w:val="18"/>
    </w:rPr>
  </w:style>
  <w:style w:type="paragraph" w:styleId="a6">
    <w:name w:val="footer"/>
    <w:basedOn w:val="a"/>
    <w:link w:val="Char0"/>
    <w:uiPriority w:val="99"/>
    <w:unhideWhenUsed/>
    <w:rsid w:val="000652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52F9"/>
    <w:rPr>
      <w:sz w:val="18"/>
      <w:szCs w:val="18"/>
    </w:rPr>
  </w:style>
  <w:style w:type="paragraph" w:styleId="a7">
    <w:name w:val="Balloon Text"/>
    <w:basedOn w:val="a"/>
    <w:link w:val="Char1"/>
    <w:uiPriority w:val="99"/>
    <w:semiHidden/>
    <w:unhideWhenUsed/>
    <w:rsid w:val="000652F9"/>
    <w:rPr>
      <w:sz w:val="18"/>
      <w:szCs w:val="18"/>
    </w:rPr>
  </w:style>
  <w:style w:type="character" w:customStyle="1" w:styleId="Char1">
    <w:name w:val="批注框文本 Char"/>
    <w:basedOn w:val="a0"/>
    <w:link w:val="a7"/>
    <w:uiPriority w:val="99"/>
    <w:semiHidden/>
    <w:rsid w:val="00065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43096">
      <w:bodyDiv w:val="1"/>
      <w:marLeft w:val="0"/>
      <w:marRight w:val="0"/>
      <w:marTop w:val="0"/>
      <w:marBottom w:val="0"/>
      <w:divBdr>
        <w:top w:val="none" w:sz="0" w:space="0" w:color="auto"/>
        <w:left w:val="none" w:sz="0" w:space="0" w:color="auto"/>
        <w:bottom w:val="none" w:sz="0" w:space="0" w:color="auto"/>
        <w:right w:val="none" w:sz="0" w:space="0" w:color="auto"/>
      </w:divBdr>
    </w:div>
    <w:div w:id="1459103272">
      <w:bodyDiv w:val="1"/>
      <w:marLeft w:val="0"/>
      <w:marRight w:val="0"/>
      <w:marTop w:val="0"/>
      <w:marBottom w:val="0"/>
      <w:divBdr>
        <w:top w:val="none" w:sz="0" w:space="0" w:color="auto"/>
        <w:left w:val="none" w:sz="0" w:space="0" w:color="auto"/>
        <w:bottom w:val="none" w:sz="0" w:space="0" w:color="auto"/>
        <w:right w:val="none" w:sz="0" w:space="0" w:color="auto"/>
      </w:divBdr>
      <w:divsChild>
        <w:div w:id="400181562">
          <w:marLeft w:val="0"/>
          <w:marRight w:val="0"/>
          <w:marTop w:val="0"/>
          <w:marBottom w:val="0"/>
          <w:divBdr>
            <w:top w:val="none" w:sz="0" w:space="0" w:color="auto"/>
            <w:left w:val="none" w:sz="0" w:space="0" w:color="auto"/>
            <w:bottom w:val="none" w:sz="0" w:space="0" w:color="auto"/>
            <w:right w:val="none" w:sz="0" w:space="0" w:color="auto"/>
          </w:divBdr>
          <w:divsChild>
            <w:div w:id="4977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Words>
  <Characters>1429</Characters>
  <Application>Microsoft Office Word</Application>
  <DocSecurity>0</DocSecurity>
  <Lines>11</Lines>
  <Paragraphs>3</Paragraphs>
  <ScaleCrop>false</ScaleCrop>
  <Company>China</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2018-10-30T05:43:00Z</cp:lastPrinted>
  <dcterms:created xsi:type="dcterms:W3CDTF">2018-10-31T02:24:00Z</dcterms:created>
  <dcterms:modified xsi:type="dcterms:W3CDTF">2018-10-31T02:24:00Z</dcterms:modified>
</cp:coreProperties>
</file>