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0E" w:rsidRDefault="009627C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徐水区市场建设服务中心概况</w:t>
      </w:r>
    </w:p>
    <w:p w:rsidR="0084550E" w:rsidRDefault="009627CD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一、部门职责</w:t>
      </w:r>
    </w:p>
    <w:p w:rsidR="0084550E" w:rsidRDefault="009627CD">
      <w:pPr>
        <w:pStyle w:val="Normal"/>
        <w:widowControl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根据徐水县人民政府办公室《关于印发徐水县市场建设服务中心职能配置、内设机构和人员编制方案的通知》（徐政办</w:t>
      </w:r>
      <w:r>
        <w:rPr>
          <w:rFonts w:ascii="仿宋_GB2312" w:eastAsia="仿宋_GB2312" w:hAnsi="仿宋" w:cs="仿宋_GB2312"/>
          <w:sz w:val="32"/>
          <w:szCs w:val="32"/>
        </w:rPr>
        <w:t>[2002]72</w:t>
      </w:r>
      <w:r>
        <w:rPr>
          <w:rFonts w:ascii="仿宋_GB2312" w:eastAsia="仿宋_GB2312" w:hAnsi="仿宋" w:cs="仿宋_GB2312" w:hint="eastAsia"/>
          <w:sz w:val="32"/>
          <w:szCs w:val="32"/>
        </w:rPr>
        <w:t>号），现将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概况说明如下：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（一）负责制定全县市场布局的规划、市场建设、组织市场论证，负责市场登记工作。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（二）负责对所辖市场的纠纷，物业管理，提供有偿服务，收取设施租赁费。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（三）配合有关执法部门或受有关执法部门委托，对市场经营者违法违章问题进行查处。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（四）配合公安、消防等部门，对市场的日常安全和消防设施管理使用达标情况进行规范和检查。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（五）负责市场的培育开发、引进现代化商业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态，推动市场上档升级。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（六）组织各类庙会、商品交易会。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（七）负责市场统计与分析。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（八）组织市场检查评比、验收。</w:t>
      </w:r>
    </w:p>
    <w:p w:rsidR="0084550E" w:rsidRDefault="009627CD">
      <w:pPr>
        <w:ind w:firstLineChars="200" w:firstLine="640"/>
        <w:jc w:val="left"/>
        <w:rPr>
          <w:snapToGrid w:val="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九）承办区委、区政府交办的其它事项。</w:t>
      </w:r>
    </w:p>
    <w:p w:rsidR="0084550E" w:rsidRDefault="009627CD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二、部门决算单位构成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我单位编制人数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30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，行政编制数0个，机关工勤编制数0个，事业编制数30个。实有在职人员26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人，退休人员0人。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根据上述职责，市场建设服务中心设5个内设机构：</w:t>
      </w:r>
    </w:p>
    <w:p w:rsidR="0084550E" w:rsidRDefault="009627CD">
      <w:pPr>
        <w:spacing w:line="360" w:lineRule="auto"/>
        <w:ind w:firstLineChars="200" w:firstLine="640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综合股、人教股、财务股、市场经营服务股、市场稽查股。</w:t>
      </w:r>
    </w:p>
    <w:p w:rsidR="0084550E" w:rsidRDefault="009627C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徐水区市场建设服务中心</w:t>
      </w: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年部门决算情况说明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232.63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30%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53.26 </w:t>
      </w:r>
      <w:r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263.</w:t>
      </w:r>
      <w:r>
        <w:rPr>
          <w:rFonts w:hint="eastAsia"/>
          <w:snapToGrid w:val="0"/>
          <w:kern w:val="0"/>
          <w:sz w:val="28"/>
          <w:szCs w:val="28"/>
        </w:rPr>
        <w:t>70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39%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73.88</w:t>
      </w:r>
      <w:r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0.16</w:t>
      </w:r>
      <w:r>
        <w:rPr>
          <w:rFonts w:hint="eastAsia"/>
          <w:snapToGrid w:val="0"/>
          <w:kern w:val="0"/>
          <w:sz w:val="28"/>
          <w:szCs w:val="28"/>
        </w:rPr>
        <w:t>万元。原因：本年普调工资及调标，基本支出增加。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232.63</w:t>
      </w:r>
      <w:r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 xml:space="preserve">    232.57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35%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60.85</w:t>
      </w:r>
      <w:r>
        <w:rPr>
          <w:rFonts w:hint="eastAsia"/>
          <w:snapToGrid w:val="0"/>
          <w:kern w:val="0"/>
          <w:sz w:val="28"/>
          <w:szCs w:val="28"/>
        </w:rPr>
        <w:t>万元，主要原因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本年普调工资，财政拨款增加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99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rFonts w:hint="eastAsia"/>
          <w:snapToGrid w:val="0"/>
          <w:kern w:val="0"/>
          <w:sz w:val="28"/>
          <w:szCs w:val="28"/>
        </w:rPr>
        <w:t>7.6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上年有租赁费收入，本年没有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263.70</w:t>
      </w:r>
      <w:r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245.68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>93%</w:t>
      </w:r>
      <w:r>
        <w:rPr>
          <w:rFonts w:hint="eastAsia"/>
          <w:snapToGrid w:val="0"/>
          <w:kern w:val="0"/>
          <w:sz w:val="28"/>
          <w:szCs w:val="28"/>
        </w:rPr>
        <w:t>；项目支出</w:t>
      </w:r>
      <w:r>
        <w:rPr>
          <w:snapToGrid w:val="0"/>
          <w:kern w:val="0"/>
          <w:sz w:val="28"/>
          <w:szCs w:val="28"/>
        </w:rPr>
        <w:t xml:space="preserve"> 18.01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>7%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 xml:space="preserve"> 232.57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35%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60.85</w:t>
      </w:r>
      <w:r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263.</w:t>
      </w:r>
      <w:r>
        <w:rPr>
          <w:rFonts w:hint="eastAsia"/>
          <w:snapToGrid w:val="0"/>
          <w:kern w:val="0"/>
          <w:sz w:val="28"/>
          <w:szCs w:val="28"/>
        </w:rPr>
        <w:t>70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lastRenderedPageBreak/>
        <w:t>39%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73.88</w:t>
      </w:r>
      <w:r>
        <w:rPr>
          <w:rFonts w:hint="eastAsia"/>
          <w:snapToGrid w:val="0"/>
          <w:kern w:val="0"/>
          <w:sz w:val="28"/>
          <w:szCs w:val="28"/>
        </w:rPr>
        <w:t>万元，年末财政拨款结转结余</w:t>
      </w:r>
      <w:r>
        <w:rPr>
          <w:snapToGrid w:val="0"/>
          <w:kern w:val="0"/>
          <w:sz w:val="28"/>
          <w:szCs w:val="28"/>
        </w:rPr>
        <w:t>0.16</w:t>
      </w:r>
      <w:r>
        <w:rPr>
          <w:rFonts w:hint="eastAsia"/>
          <w:snapToGrid w:val="0"/>
          <w:kern w:val="0"/>
          <w:sz w:val="28"/>
          <w:szCs w:val="28"/>
        </w:rPr>
        <w:t>万元。主要原因是：工资普调，人员经费增加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年财政拨款支出年初预算数为</w:t>
      </w:r>
      <w:r>
        <w:rPr>
          <w:rFonts w:hint="eastAsia"/>
          <w:snapToGrid w:val="0"/>
          <w:kern w:val="0"/>
          <w:sz w:val="28"/>
          <w:szCs w:val="28"/>
        </w:rPr>
        <w:t>193.7</w:t>
      </w:r>
      <w:r>
        <w:rPr>
          <w:rFonts w:hint="eastAsia"/>
          <w:snapToGrid w:val="0"/>
          <w:kern w:val="0"/>
          <w:sz w:val="28"/>
          <w:szCs w:val="28"/>
        </w:rPr>
        <w:t>万元，本年支出决算数为</w:t>
      </w:r>
      <w:r>
        <w:rPr>
          <w:rFonts w:hint="eastAsia"/>
          <w:snapToGrid w:val="0"/>
          <w:kern w:val="0"/>
          <w:sz w:val="28"/>
          <w:szCs w:val="28"/>
        </w:rPr>
        <w:t>263.43</w:t>
      </w:r>
      <w:r>
        <w:rPr>
          <w:rFonts w:hint="eastAsia"/>
          <w:snapToGrid w:val="0"/>
          <w:kern w:val="0"/>
          <w:sz w:val="28"/>
          <w:szCs w:val="28"/>
        </w:rPr>
        <w:t>万元，占年初预算数的</w:t>
      </w:r>
      <w:r>
        <w:rPr>
          <w:rFonts w:hint="eastAsia"/>
          <w:snapToGrid w:val="0"/>
          <w:kern w:val="0"/>
          <w:sz w:val="28"/>
          <w:szCs w:val="28"/>
        </w:rPr>
        <w:t>136%</w:t>
      </w:r>
      <w:r>
        <w:rPr>
          <w:rFonts w:hint="eastAsia"/>
          <w:snapToGrid w:val="0"/>
          <w:kern w:val="0"/>
          <w:sz w:val="28"/>
          <w:szCs w:val="28"/>
        </w:rPr>
        <w:t>，主要原因：本年普调工资及调标，基本支出增加。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1D4E5F" w:rsidRPr="001D4E5F" w:rsidRDefault="001D4E5F" w:rsidP="001D4E5F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3.17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1.23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27.98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B072CE" w:rsidRDefault="009627CD" w:rsidP="00B072CE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本部门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2016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0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B072CE" w:rsidRPr="00B072CE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B072CE" w:rsidRPr="00B072CE">
        <w:rPr>
          <w:rFonts w:hint="eastAsia"/>
          <w:snapToGrid w:val="0"/>
          <w:kern w:val="0"/>
          <w:sz w:val="28"/>
          <w:szCs w:val="28"/>
        </w:rPr>
        <w:t>压减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0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万元，增加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0%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，较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2015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年增加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0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万元，增加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0 %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。主要原因：无出国出境安排。因公出国（境）团组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0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人。</w:t>
      </w:r>
    </w:p>
    <w:p w:rsidR="0084550E" w:rsidRDefault="009627CD" w:rsidP="00B072CE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年度公务用车购置及运行维护费本年支出</w:t>
      </w:r>
      <w:r>
        <w:rPr>
          <w:snapToGrid w:val="0"/>
          <w:kern w:val="0"/>
          <w:sz w:val="28"/>
          <w:szCs w:val="28"/>
        </w:rPr>
        <w:t>2.98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（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2016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B072CE">
        <w:rPr>
          <w:snapToGrid w:val="0"/>
          <w:kern w:val="0"/>
          <w:sz w:val="28"/>
          <w:szCs w:val="28"/>
        </w:rPr>
        <w:t>1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辆。）</w:t>
      </w:r>
    </w:p>
    <w:p w:rsidR="00B072CE" w:rsidRDefault="00B072CE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B072CE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B072CE">
        <w:rPr>
          <w:rFonts w:hint="eastAsia"/>
          <w:snapToGrid w:val="0"/>
          <w:kern w:val="0"/>
          <w:sz w:val="28"/>
          <w:szCs w:val="28"/>
        </w:rPr>
        <w:t>0</w:t>
      </w:r>
      <w:r w:rsidRPr="00B072CE">
        <w:rPr>
          <w:rFonts w:hint="eastAsia"/>
          <w:snapToGrid w:val="0"/>
          <w:kern w:val="0"/>
          <w:sz w:val="28"/>
          <w:szCs w:val="28"/>
        </w:rPr>
        <w:t>万元；</w:t>
      </w:r>
      <w:proofErr w:type="gramStart"/>
      <w:r w:rsidRPr="00B072CE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Pr="00B072CE">
        <w:rPr>
          <w:rFonts w:hint="eastAsia"/>
          <w:snapToGrid w:val="0"/>
          <w:kern w:val="0"/>
          <w:sz w:val="28"/>
          <w:szCs w:val="28"/>
        </w:rPr>
        <w:t>压减</w:t>
      </w:r>
      <w:r w:rsidRPr="00B072CE">
        <w:rPr>
          <w:rFonts w:hint="eastAsia"/>
          <w:snapToGrid w:val="0"/>
          <w:kern w:val="0"/>
          <w:sz w:val="28"/>
          <w:szCs w:val="28"/>
        </w:rPr>
        <w:t>0</w:t>
      </w:r>
      <w:r w:rsidRPr="00B072CE">
        <w:rPr>
          <w:rFonts w:hint="eastAsia"/>
          <w:snapToGrid w:val="0"/>
          <w:kern w:val="0"/>
          <w:sz w:val="28"/>
          <w:szCs w:val="28"/>
        </w:rPr>
        <w:t>万元，减少</w:t>
      </w:r>
      <w:r w:rsidRPr="00B072CE">
        <w:rPr>
          <w:rFonts w:hint="eastAsia"/>
          <w:snapToGrid w:val="0"/>
          <w:kern w:val="0"/>
          <w:sz w:val="28"/>
          <w:szCs w:val="28"/>
        </w:rPr>
        <w:t>0%</w:t>
      </w:r>
      <w:r w:rsidRPr="00B072CE">
        <w:rPr>
          <w:rFonts w:hint="eastAsia"/>
          <w:snapToGrid w:val="0"/>
          <w:kern w:val="0"/>
          <w:sz w:val="28"/>
          <w:szCs w:val="28"/>
        </w:rPr>
        <w:t>；较</w:t>
      </w:r>
      <w:r w:rsidRPr="00B072CE">
        <w:rPr>
          <w:rFonts w:hint="eastAsia"/>
          <w:snapToGrid w:val="0"/>
          <w:kern w:val="0"/>
          <w:sz w:val="28"/>
          <w:szCs w:val="28"/>
        </w:rPr>
        <w:t>2015</w:t>
      </w:r>
      <w:r w:rsidRPr="00B072CE">
        <w:rPr>
          <w:rFonts w:hint="eastAsia"/>
          <w:snapToGrid w:val="0"/>
          <w:kern w:val="0"/>
          <w:sz w:val="28"/>
          <w:szCs w:val="28"/>
        </w:rPr>
        <w:t>年增加</w:t>
      </w:r>
      <w:r w:rsidRPr="00B072CE">
        <w:rPr>
          <w:rFonts w:hint="eastAsia"/>
          <w:snapToGrid w:val="0"/>
          <w:kern w:val="0"/>
          <w:sz w:val="28"/>
          <w:szCs w:val="28"/>
        </w:rPr>
        <w:t>0</w:t>
      </w:r>
      <w:r w:rsidRPr="00B072CE">
        <w:rPr>
          <w:rFonts w:hint="eastAsia"/>
          <w:snapToGrid w:val="0"/>
          <w:kern w:val="0"/>
          <w:sz w:val="28"/>
          <w:szCs w:val="28"/>
        </w:rPr>
        <w:t>万元，增加</w:t>
      </w:r>
      <w:r w:rsidRPr="00B072CE">
        <w:rPr>
          <w:rFonts w:hint="eastAsia"/>
          <w:snapToGrid w:val="0"/>
          <w:kern w:val="0"/>
          <w:sz w:val="28"/>
          <w:szCs w:val="28"/>
        </w:rPr>
        <w:t>0%</w:t>
      </w:r>
      <w:r w:rsidRPr="00B072CE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84550E" w:rsidRDefault="009627CD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 2.98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proofErr w:type="gramStart"/>
      <w:r w:rsidR="00B072CE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B072CE">
        <w:rPr>
          <w:rFonts w:hint="eastAsia"/>
          <w:snapToGrid w:val="0"/>
          <w:kern w:val="0"/>
          <w:sz w:val="28"/>
          <w:szCs w:val="28"/>
        </w:rPr>
        <w:t>压减</w:t>
      </w:r>
      <w:r w:rsidR="00B072CE">
        <w:rPr>
          <w:rFonts w:hint="eastAsia"/>
          <w:snapToGrid w:val="0"/>
          <w:kern w:val="0"/>
          <w:sz w:val="28"/>
          <w:szCs w:val="28"/>
        </w:rPr>
        <w:t>0.02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万元，减少</w:t>
      </w:r>
      <w:r w:rsidR="00B072CE">
        <w:rPr>
          <w:rFonts w:hint="eastAsia"/>
          <w:snapToGrid w:val="0"/>
          <w:kern w:val="0"/>
          <w:sz w:val="28"/>
          <w:szCs w:val="28"/>
        </w:rPr>
        <w:t>0</w:t>
      </w:r>
      <w:r w:rsidR="00B072CE">
        <w:rPr>
          <w:snapToGrid w:val="0"/>
          <w:kern w:val="0"/>
          <w:sz w:val="28"/>
          <w:szCs w:val="28"/>
        </w:rPr>
        <w:t>.67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0.32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B072CE">
        <w:rPr>
          <w:rFonts w:hint="eastAsia"/>
          <w:snapToGrid w:val="0"/>
          <w:kern w:val="0"/>
          <w:sz w:val="28"/>
          <w:szCs w:val="28"/>
        </w:rPr>
        <w:t>减少</w:t>
      </w:r>
      <w:r w:rsidR="00B072CE">
        <w:rPr>
          <w:rFonts w:hint="eastAsia"/>
          <w:snapToGrid w:val="0"/>
          <w:kern w:val="0"/>
          <w:sz w:val="28"/>
          <w:szCs w:val="28"/>
        </w:rPr>
        <w:t>9.69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%</w:t>
      </w:r>
      <w:r w:rsidR="00B072CE" w:rsidRPr="00B072CE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严格八项规定减少公务用车费用。</w:t>
      </w:r>
    </w:p>
    <w:p w:rsidR="0084550E" w:rsidRDefault="009627CD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snapToGrid w:val="0"/>
          <w:kern w:val="0"/>
          <w:sz w:val="28"/>
          <w:szCs w:val="28"/>
        </w:rPr>
        <w:t>0.19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747DAB" w:rsidRPr="00747DAB">
        <w:rPr>
          <w:rFonts w:hint="eastAsia"/>
          <w:snapToGrid w:val="0"/>
          <w:kern w:val="0"/>
          <w:sz w:val="28"/>
          <w:szCs w:val="28"/>
        </w:rPr>
        <w:t>较预算</w:t>
      </w:r>
      <w:proofErr w:type="gramEnd"/>
      <w:r w:rsidR="00747DAB" w:rsidRPr="00747DAB">
        <w:rPr>
          <w:rFonts w:hint="eastAsia"/>
          <w:snapToGrid w:val="0"/>
          <w:kern w:val="0"/>
          <w:sz w:val="28"/>
          <w:szCs w:val="28"/>
        </w:rPr>
        <w:t>压减</w:t>
      </w:r>
      <w:r w:rsidR="00747DAB">
        <w:rPr>
          <w:rFonts w:hint="eastAsia"/>
          <w:snapToGrid w:val="0"/>
          <w:kern w:val="0"/>
          <w:sz w:val="28"/>
          <w:szCs w:val="28"/>
        </w:rPr>
        <w:t>0</w:t>
      </w:r>
      <w:r w:rsidR="00747DAB">
        <w:rPr>
          <w:snapToGrid w:val="0"/>
          <w:kern w:val="0"/>
          <w:sz w:val="28"/>
          <w:szCs w:val="28"/>
        </w:rPr>
        <w:t>.81</w:t>
      </w:r>
      <w:r w:rsidR="00747DAB" w:rsidRPr="00747DAB">
        <w:rPr>
          <w:rFonts w:hint="eastAsia"/>
          <w:snapToGrid w:val="0"/>
          <w:kern w:val="0"/>
          <w:sz w:val="28"/>
          <w:szCs w:val="28"/>
        </w:rPr>
        <w:t>万元，减少</w:t>
      </w:r>
      <w:r w:rsidR="00747DAB">
        <w:rPr>
          <w:rFonts w:hint="eastAsia"/>
          <w:snapToGrid w:val="0"/>
          <w:kern w:val="0"/>
          <w:sz w:val="28"/>
          <w:szCs w:val="28"/>
        </w:rPr>
        <w:t>8</w:t>
      </w:r>
      <w:r w:rsidR="00747DAB">
        <w:rPr>
          <w:snapToGrid w:val="0"/>
          <w:kern w:val="0"/>
          <w:sz w:val="28"/>
          <w:szCs w:val="28"/>
        </w:rPr>
        <w:t>1</w:t>
      </w:r>
      <w:r w:rsidR="00747DAB" w:rsidRPr="00747DAB">
        <w:rPr>
          <w:rFonts w:hint="eastAsia"/>
          <w:snapToGrid w:val="0"/>
          <w:kern w:val="0"/>
          <w:sz w:val="28"/>
          <w:szCs w:val="28"/>
        </w:rPr>
        <w:t>%</w:t>
      </w:r>
      <w:r w:rsidR="00747DAB" w:rsidRPr="00747DAB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0.91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7830ED" w:rsidRPr="007830ED">
        <w:rPr>
          <w:rFonts w:hint="eastAsia"/>
          <w:snapToGrid w:val="0"/>
          <w:kern w:val="0"/>
          <w:sz w:val="28"/>
          <w:szCs w:val="28"/>
        </w:rPr>
        <w:t>减少</w:t>
      </w:r>
      <w:r w:rsidR="007830ED">
        <w:rPr>
          <w:rFonts w:hint="eastAsia"/>
          <w:snapToGrid w:val="0"/>
          <w:kern w:val="0"/>
          <w:sz w:val="28"/>
          <w:szCs w:val="28"/>
        </w:rPr>
        <w:t>8</w:t>
      </w:r>
      <w:r>
        <w:rPr>
          <w:snapToGrid w:val="0"/>
          <w:kern w:val="0"/>
          <w:sz w:val="28"/>
          <w:szCs w:val="28"/>
        </w:rPr>
        <w:t>2.69</w:t>
      </w:r>
      <w:r w:rsidR="007830ED" w:rsidRPr="007830ED">
        <w:rPr>
          <w:rFonts w:hint="eastAsia"/>
          <w:snapToGrid w:val="0"/>
          <w:kern w:val="0"/>
          <w:sz w:val="28"/>
          <w:szCs w:val="28"/>
        </w:rPr>
        <w:t>%</w:t>
      </w:r>
      <w:r w:rsidR="007830ED" w:rsidRPr="007830ED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主要原因严格八项规定减少接待次数和人数。</w:t>
      </w:r>
    </w:p>
    <w:p w:rsidR="0084550E" w:rsidRDefault="009627CD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snapToGrid w:val="0"/>
          <w:kern w:val="0"/>
          <w:sz w:val="28"/>
          <w:szCs w:val="28"/>
        </w:rPr>
        <w:t xml:space="preserve"> 5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snapToGrid w:val="0"/>
          <w:kern w:val="0"/>
          <w:sz w:val="28"/>
          <w:szCs w:val="28"/>
        </w:rPr>
        <w:t>43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六、预算绩效管理工作开展情况说明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我单位依托河北省政府财政管理信息系统，确定部门预算项目和预算额度，清晰描述预算项目开支范围和内容，确定预算项目的绩效目标。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七、其他重要事项的说明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、机关运行经费支出情况说明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 xml:space="preserve">  0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>0 %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4550E" w:rsidRDefault="009627C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、政府采购情况说明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单位名称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保定市徐水区市场建设服务中心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>
        <w:rPr>
          <w:rFonts w:hint="eastAsia"/>
          <w:snapToGrid w:val="0"/>
          <w:kern w:val="0"/>
          <w:sz w:val="28"/>
          <w:szCs w:val="28"/>
        </w:rPr>
        <w:instrText>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、国有资产占用情况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>1088.27</w:t>
      </w:r>
      <w:r>
        <w:rPr>
          <w:rFonts w:hint="eastAsia"/>
          <w:snapToGrid w:val="0"/>
          <w:kern w:val="0"/>
          <w:sz w:val="28"/>
          <w:szCs w:val="28"/>
        </w:rPr>
        <w:t>万元，主要包括房屋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12818.22</w:t>
      </w:r>
      <w:r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942.92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辆价值</w:t>
      </w:r>
      <w:r>
        <w:rPr>
          <w:rFonts w:hint="eastAsia"/>
          <w:snapToGrid w:val="0"/>
          <w:kern w:val="0"/>
          <w:sz w:val="28"/>
          <w:szCs w:val="28"/>
        </w:rPr>
        <w:t>14.53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单价在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及其他固定资产</w:t>
      </w:r>
      <w:r>
        <w:rPr>
          <w:rFonts w:hint="eastAsia"/>
          <w:snapToGrid w:val="0"/>
          <w:kern w:val="0"/>
          <w:sz w:val="28"/>
          <w:szCs w:val="28"/>
        </w:rPr>
        <w:t>118.29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>
        <w:rPr>
          <w:rFonts w:hint="eastAsia"/>
          <w:snapToGrid w:val="0"/>
          <w:kern w:val="0"/>
          <w:sz w:val="28"/>
          <w:szCs w:val="28"/>
        </w:rPr>
        <w:t>1.29</w:t>
      </w:r>
      <w:r>
        <w:rPr>
          <w:rFonts w:hint="eastAsia"/>
          <w:snapToGrid w:val="0"/>
          <w:kern w:val="0"/>
          <w:sz w:val="28"/>
          <w:szCs w:val="28"/>
        </w:rPr>
        <w:t>万元，包括房屋增加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车辆增加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辆，车辆增加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万元，单价</w:t>
      </w:r>
      <w:r>
        <w:rPr>
          <w:snapToGrid w:val="0"/>
          <w:kern w:val="0"/>
          <w:sz w:val="28"/>
          <w:szCs w:val="28"/>
        </w:rPr>
        <w:t>在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以上的设备</w:t>
      </w:r>
      <w:r>
        <w:rPr>
          <w:rFonts w:hint="eastAsia"/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其他固定</w:t>
      </w:r>
      <w:r>
        <w:rPr>
          <w:rFonts w:hint="eastAsia"/>
          <w:snapToGrid w:val="0"/>
          <w:kern w:val="0"/>
          <w:sz w:val="28"/>
          <w:szCs w:val="28"/>
        </w:rPr>
        <w:t>资产增加</w:t>
      </w:r>
      <w:r>
        <w:rPr>
          <w:rFonts w:hint="eastAsia"/>
          <w:snapToGrid w:val="0"/>
          <w:kern w:val="0"/>
          <w:sz w:val="28"/>
          <w:szCs w:val="28"/>
        </w:rPr>
        <w:t>1.29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4550E" w:rsidRDefault="009627CD">
      <w:pPr>
        <w:pStyle w:val="1"/>
        <w:numPr>
          <w:ilvl w:val="0"/>
          <w:numId w:val="1"/>
        </w:numPr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其他需要说明的情况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250" w:left="525" w:firstLineChars="0" w:firstLine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无。</w:t>
      </w:r>
    </w:p>
    <w:p w:rsidR="0084550E" w:rsidRDefault="0084550E">
      <w:pPr>
        <w:rPr>
          <w:b/>
          <w:sz w:val="44"/>
          <w:szCs w:val="44"/>
        </w:rPr>
      </w:pPr>
    </w:p>
    <w:p w:rsidR="0084550E" w:rsidRDefault="009627C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第三部分</w:t>
      </w:r>
      <w:r>
        <w:rPr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名词解释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（五）基本支出：填列单位为保障机构正常运转、完成日常工作任务而发生的各项支出。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（六）项目支出：填列单位为完成特定的行政工作任务或事业发展目标，在基本支出之外发生的各项支出。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84550E" w:rsidRDefault="009627CD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（八）“三公”经费：指部门用财政拨款安排的因公出国（境）费、公务用车购置及运行费和公务接待费。其中，因公出国（境）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单位公务用车购置支出（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含车辆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>
        <w:rPr>
          <w:rFonts w:hint="eastAsia"/>
          <w:snapToGrid w:val="0"/>
          <w:kern w:val="0"/>
          <w:sz w:val="28"/>
          <w:szCs w:val="28"/>
        </w:rPr>
        <w:t>费反映</w:t>
      </w:r>
      <w:proofErr w:type="gramEnd"/>
      <w:r>
        <w:rPr>
          <w:rFonts w:hint="eastAsia"/>
          <w:snapToGrid w:val="0"/>
          <w:kern w:val="0"/>
          <w:sz w:val="28"/>
          <w:szCs w:val="28"/>
        </w:rPr>
        <w:t>单位按规定开支的各类公务接待（含外宾接待）支出。</w:t>
      </w:r>
    </w:p>
    <w:p w:rsidR="0084550E" w:rsidRDefault="0084550E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84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F5A1"/>
    <w:multiLevelType w:val="singleLevel"/>
    <w:tmpl w:val="59ADF5A1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3F5"/>
    <w:rsid w:val="001041EE"/>
    <w:rsid w:val="00113915"/>
    <w:rsid w:val="0011479D"/>
    <w:rsid w:val="00124A01"/>
    <w:rsid w:val="0015089B"/>
    <w:rsid w:val="00152908"/>
    <w:rsid w:val="001C673D"/>
    <w:rsid w:val="001D4E5F"/>
    <w:rsid w:val="001E68F2"/>
    <w:rsid w:val="00222BE9"/>
    <w:rsid w:val="002D0ECD"/>
    <w:rsid w:val="003277A3"/>
    <w:rsid w:val="003307C8"/>
    <w:rsid w:val="00372DF7"/>
    <w:rsid w:val="003A35BA"/>
    <w:rsid w:val="003F0B48"/>
    <w:rsid w:val="003F3B34"/>
    <w:rsid w:val="0045045C"/>
    <w:rsid w:val="00471A6A"/>
    <w:rsid w:val="0058572E"/>
    <w:rsid w:val="005B3169"/>
    <w:rsid w:val="005D150D"/>
    <w:rsid w:val="005F693C"/>
    <w:rsid w:val="00601837"/>
    <w:rsid w:val="0060361A"/>
    <w:rsid w:val="006B564B"/>
    <w:rsid w:val="006D5B3D"/>
    <w:rsid w:val="006E71D0"/>
    <w:rsid w:val="00747DAB"/>
    <w:rsid w:val="00777D60"/>
    <w:rsid w:val="007830ED"/>
    <w:rsid w:val="00791B38"/>
    <w:rsid w:val="008026BF"/>
    <w:rsid w:val="0082704B"/>
    <w:rsid w:val="008423F5"/>
    <w:rsid w:val="00842CBB"/>
    <w:rsid w:val="0084550E"/>
    <w:rsid w:val="00854500"/>
    <w:rsid w:val="008B50B5"/>
    <w:rsid w:val="0092532C"/>
    <w:rsid w:val="009326EA"/>
    <w:rsid w:val="00945D0B"/>
    <w:rsid w:val="009627CD"/>
    <w:rsid w:val="00985214"/>
    <w:rsid w:val="009B74FB"/>
    <w:rsid w:val="009C496F"/>
    <w:rsid w:val="00A372C2"/>
    <w:rsid w:val="00AA21A2"/>
    <w:rsid w:val="00B005DA"/>
    <w:rsid w:val="00B072CE"/>
    <w:rsid w:val="00B17297"/>
    <w:rsid w:val="00B40ED6"/>
    <w:rsid w:val="00BC4978"/>
    <w:rsid w:val="00BD4CE0"/>
    <w:rsid w:val="00BE5F44"/>
    <w:rsid w:val="00BE60B3"/>
    <w:rsid w:val="00C222CB"/>
    <w:rsid w:val="00C82568"/>
    <w:rsid w:val="00C96113"/>
    <w:rsid w:val="00CA2480"/>
    <w:rsid w:val="00CB45AA"/>
    <w:rsid w:val="00D322B0"/>
    <w:rsid w:val="00D60D91"/>
    <w:rsid w:val="00D6325B"/>
    <w:rsid w:val="00D9008B"/>
    <w:rsid w:val="00DB7E7C"/>
    <w:rsid w:val="00DC5EA2"/>
    <w:rsid w:val="00E71A30"/>
    <w:rsid w:val="00E74B8D"/>
    <w:rsid w:val="00EA65C2"/>
    <w:rsid w:val="00F00F83"/>
    <w:rsid w:val="00F7078F"/>
    <w:rsid w:val="064A3FAD"/>
    <w:rsid w:val="0B6A15E4"/>
    <w:rsid w:val="0D6054DA"/>
    <w:rsid w:val="106563F1"/>
    <w:rsid w:val="1AF90D88"/>
    <w:rsid w:val="1F545778"/>
    <w:rsid w:val="21A47FA4"/>
    <w:rsid w:val="34193A0B"/>
    <w:rsid w:val="3F4170A7"/>
    <w:rsid w:val="4B5C2B2E"/>
    <w:rsid w:val="5B5E6979"/>
    <w:rsid w:val="62A02981"/>
    <w:rsid w:val="641366BA"/>
    <w:rsid w:val="67317415"/>
    <w:rsid w:val="6DB55011"/>
    <w:rsid w:val="6E5238A6"/>
    <w:rsid w:val="70FA7241"/>
    <w:rsid w:val="739A1501"/>
    <w:rsid w:val="7C5200B9"/>
    <w:rsid w:val="7E4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EE3DD7-BD31-4562-BB23-98CB9E8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431</Words>
  <Characters>2459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51</cp:revision>
  <cp:lastPrinted>2017-08-29T03:35:00Z</cp:lastPrinted>
  <dcterms:created xsi:type="dcterms:W3CDTF">2015-11-03T02:02:00Z</dcterms:created>
  <dcterms:modified xsi:type="dcterms:W3CDTF">2017-11-15T02:21:00Z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