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发</w:t>
      </w:r>
      <w:r>
        <w:rPr>
          <w:b/>
          <w:sz w:val="44"/>
          <w:szCs w:val="44"/>
        </w:rPr>
        <w:t>改局</w:t>
      </w:r>
      <w:r>
        <w:rPr>
          <w:rFonts w:hint="eastAsia"/>
          <w:b/>
          <w:sz w:val="44"/>
          <w:szCs w:val="44"/>
        </w:rPr>
        <w:t>2015年</w:t>
      </w:r>
      <w:r>
        <w:rPr>
          <w:b/>
          <w:sz w:val="44"/>
          <w:szCs w:val="44"/>
        </w:rPr>
        <w:t>部门决算情况说明</w:t>
      </w:r>
    </w:p>
    <w:p>
      <w:pPr>
        <w:jc w:val="center"/>
        <w:rPr>
          <w:b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28"/>
          <w:szCs w:val="28"/>
        </w:rPr>
        <w:t>本部门2015年本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1165.63</w:t>
      </w:r>
      <w:r>
        <w:rPr>
          <w:rFonts w:hint="eastAsia"/>
          <w:snapToGrid w:val="0"/>
          <w:kern w:val="0"/>
          <w:sz w:val="30"/>
          <w:szCs w:val="30"/>
        </w:rPr>
        <w:t xml:space="preserve"> 万</w:t>
      </w:r>
      <w:r>
        <w:rPr>
          <w:snapToGrid w:val="0"/>
          <w:kern w:val="0"/>
          <w:sz w:val="30"/>
          <w:szCs w:val="30"/>
        </w:rPr>
        <w:t>元，</w:t>
      </w:r>
      <w:r>
        <w:rPr>
          <w:rFonts w:hint="eastAsia"/>
          <w:snapToGrid w:val="0"/>
          <w:kern w:val="0"/>
          <w:sz w:val="30"/>
          <w:szCs w:val="30"/>
        </w:rPr>
        <w:t>较</w:t>
      </w:r>
      <w:r>
        <w:rPr>
          <w:snapToGrid w:val="0"/>
          <w:kern w:val="0"/>
          <w:sz w:val="30"/>
          <w:szCs w:val="30"/>
        </w:rPr>
        <w:t>上年增长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262.35</w:t>
      </w:r>
      <w:r>
        <w:rPr>
          <w:snapToGrid w:val="0"/>
          <w:kern w:val="0"/>
          <w:sz w:val="30"/>
          <w:szCs w:val="30"/>
        </w:rPr>
        <w:t>%，增</w:t>
      </w:r>
      <w:r>
        <w:rPr>
          <w:rFonts w:hint="eastAsia"/>
          <w:snapToGrid w:val="0"/>
          <w:kern w:val="0"/>
          <w:sz w:val="30"/>
          <w:szCs w:val="30"/>
        </w:rPr>
        <w:t>收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843.94</w:t>
      </w:r>
      <w:r>
        <w:rPr>
          <w:rFonts w:hint="eastAsia"/>
          <w:snapToGrid w:val="0"/>
          <w:kern w:val="0"/>
          <w:sz w:val="30"/>
          <w:szCs w:val="30"/>
        </w:rPr>
        <w:t xml:space="preserve"> 万</w:t>
      </w:r>
      <w:r>
        <w:rPr>
          <w:snapToGrid w:val="0"/>
          <w:kern w:val="0"/>
          <w:sz w:val="30"/>
          <w:szCs w:val="30"/>
        </w:rPr>
        <w:t>元；</w:t>
      </w:r>
      <w:r>
        <w:rPr>
          <w:rFonts w:hint="eastAsia"/>
          <w:snapToGrid w:val="0"/>
          <w:kern w:val="0"/>
          <w:sz w:val="30"/>
          <w:szCs w:val="30"/>
        </w:rPr>
        <w:t>本</w:t>
      </w:r>
      <w:r>
        <w:rPr>
          <w:snapToGrid w:val="0"/>
          <w:kern w:val="0"/>
          <w:sz w:val="30"/>
          <w:szCs w:val="30"/>
        </w:rPr>
        <w:t>年支出总计</w:t>
      </w:r>
      <w:r>
        <w:rPr>
          <w:rFonts w:hint="default" w:ascii="宋体" w:hAnsi="宋体" w:eastAsia="宋体"/>
          <w:b w:val="0"/>
          <w:i w:val="0"/>
          <w:color w:val="000000"/>
          <w:sz w:val="30"/>
          <w:szCs w:val="30"/>
          <w:u w:val="none"/>
          <w:lang w:eastAsia="zh-CN"/>
        </w:rPr>
        <w:t>707.41</w:t>
      </w:r>
      <w:r>
        <w:rPr>
          <w:rFonts w:hint="eastAsia"/>
          <w:snapToGrid w:val="0"/>
          <w:kern w:val="0"/>
          <w:sz w:val="30"/>
          <w:szCs w:val="30"/>
        </w:rPr>
        <w:t xml:space="preserve"> 万</w:t>
      </w:r>
      <w:r>
        <w:rPr>
          <w:snapToGrid w:val="0"/>
          <w:kern w:val="0"/>
          <w:sz w:val="30"/>
          <w:szCs w:val="30"/>
        </w:rPr>
        <w:t>元，较上年增长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111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snapToGrid w:val="0"/>
          <w:kern w:val="0"/>
          <w:sz w:val="30"/>
          <w:szCs w:val="30"/>
        </w:rPr>
        <w:t>%，增支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372.32</w:t>
      </w:r>
      <w:r>
        <w:rPr>
          <w:rFonts w:hint="eastAsia"/>
          <w:snapToGrid w:val="0"/>
          <w:kern w:val="0"/>
          <w:sz w:val="30"/>
          <w:szCs w:val="30"/>
        </w:rPr>
        <w:t xml:space="preserve"> 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，</w:t>
      </w:r>
      <w:r>
        <w:rPr>
          <w:snapToGrid w:val="0"/>
          <w:kern w:val="0"/>
          <w:sz w:val="30"/>
          <w:szCs w:val="30"/>
        </w:rPr>
        <w:t>年末结转结余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541.91</w:t>
      </w:r>
      <w:r>
        <w:rPr>
          <w:rFonts w:hint="eastAsia"/>
          <w:snapToGrid w:val="0"/>
          <w:kern w:val="0"/>
          <w:sz w:val="30"/>
          <w:szCs w:val="30"/>
        </w:rPr>
        <w:t xml:space="preserve"> 万</w:t>
      </w:r>
      <w:r>
        <w:rPr>
          <w:snapToGrid w:val="0"/>
          <w:kern w:val="0"/>
          <w:sz w:val="30"/>
          <w:szCs w:val="30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本</w:t>
      </w:r>
      <w:r>
        <w:rPr>
          <w:snapToGrid w:val="0"/>
          <w:kern w:val="0"/>
          <w:sz w:val="30"/>
          <w:szCs w:val="30"/>
        </w:rPr>
        <w:t>部门</w:t>
      </w:r>
      <w:r>
        <w:rPr>
          <w:rFonts w:hint="eastAsia"/>
          <w:snapToGrid w:val="0"/>
          <w:kern w:val="0"/>
          <w:sz w:val="30"/>
          <w:szCs w:val="30"/>
        </w:rPr>
        <w:t>2015年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收</w:t>
      </w:r>
      <w:r>
        <w:rPr>
          <w:snapToGrid w:val="0"/>
          <w:kern w:val="0"/>
          <w:sz w:val="30"/>
          <w:szCs w:val="30"/>
        </w:rPr>
        <w:t>入总计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1165.63</w:t>
      </w:r>
      <w:r>
        <w:rPr>
          <w:rFonts w:hint="eastAsia"/>
          <w:snapToGrid w:val="0"/>
          <w:kern w:val="0"/>
          <w:sz w:val="30"/>
          <w:szCs w:val="30"/>
        </w:rPr>
        <w:t xml:space="preserve">   万元</w:t>
      </w:r>
      <w:r>
        <w:rPr>
          <w:snapToGrid w:val="0"/>
          <w:kern w:val="0"/>
          <w:sz w:val="30"/>
          <w:szCs w:val="30"/>
        </w:rPr>
        <w:t>，其中</w:t>
      </w:r>
      <w:r>
        <w:rPr>
          <w:rFonts w:hint="eastAsia"/>
          <w:snapToGrid w:val="0"/>
          <w:kern w:val="0"/>
          <w:sz w:val="30"/>
          <w:szCs w:val="30"/>
        </w:rPr>
        <w:t>财政</w:t>
      </w:r>
      <w:r>
        <w:rPr>
          <w:snapToGrid w:val="0"/>
          <w:kern w:val="0"/>
          <w:sz w:val="30"/>
          <w:szCs w:val="30"/>
        </w:rPr>
        <w:t>拨款</w:t>
      </w:r>
      <w:r>
        <w:rPr>
          <w:rFonts w:hint="eastAsia"/>
          <w:snapToGrid w:val="0"/>
          <w:kern w:val="0"/>
          <w:sz w:val="30"/>
          <w:szCs w:val="30"/>
        </w:rPr>
        <w:t>收</w:t>
      </w:r>
      <w:r>
        <w:rPr>
          <w:snapToGrid w:val="0"/>
          <w:kern w:val="0"/>
          <w:sz w:val="30"/>
          <w:szCs w:val="30"/>
        </w:rPr>
        <w:t>入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1162.53</w:t>
      </w:r>
      <w:r>
        <w:rPr>
          <w:rFonts w:hint="eastAsia"/>
          <w:snapToGrid w:val="0"/>
          <w:kern w:val="0"/>
          <w:sz w:val="30"/>
          <w:szCs w:val="30"/>
        </w:rPr>
        <w:t xml:space="preserve"> 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上</w:t>
      </w:r>
      <w:r>
        <w:rPr>
          <w:snapToGrid w:val="0"/>
          <w:kern w:val="0"/>
          <w:sz w:val="30"/>
          <w:szCs w:val="30"/>
        </w:rPr>
        <w:t>级补助收入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0</w:t>
      </w:r>
      <w:r>
        <w:rPr>
          <w:rFonts w:hint="eastAsia"/>
          <w:snapToGrid w:val="0"/>
          <w:kern w:val="0"/>
          <w:sz w:val="30"/>
          <w:szCs w:val="30"/>
        </w:rPr>
        <w:t xml:space="preserve"> 万</w:t>
      </w:r>
      <w:r>
        <w:rPr>
          <w:snapToGrid w:val="0"/>
          <w:kern w:val="0"/>
          <w:sz w:val="30"/>
          <w:szCs w:val="30"/>
        </w:rPr>
        <w:t>元，</w:t>
      </w:r>
      <w:r>
        <w:rPr>
          <w:rFonts w:hint="eastAsia"/>
          <w:snapToGrid w:val="0"/>
          <w:kern w:val="0"/>
          <w:sz w:val="30"/>
          <w:szCs w:val="30"/>
        </w:rPr>
        <w:t>事业</w:t>
      </w:r>
      <w:r>
        <w:rPr>
          <w:snapToGrid w:val="0"/>
          <w:kern w:val="0"/>
          <w:sz w:val="30"/>
          <w:szCs w:val="30"/>
        </w:rPr>
        <w:t>收入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0</w:t>
      </w:r>
      <w:r>
        <w:rPr>
          <w:rFonts w:hint="eastAsia"/>
          <w:snapToGrid w:val="0"/>
          <w:kern w:val="0"/>
          <w:sz w:val="30"/>
          <w:szCs w:val="30"/>
        </w:rPr>
        <w:t>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，</w:t>
      </w:r>
      <w:r>
        <w:rPr>
          <w:snapToGrid w:val="0"/>
          <w:kern w:val="0"/>
          <w:sz w:val="30"/>
          <w:szCs w:val="30"/>
        </w:rPr>
        <w:t>其他收入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3.1</w:t>
      </w:r>
      <w:r>
        <w:rPr>
          <w:rFonts w:hint="eastAsia"/>
          <w:snapToGrid w:val="0"/>
          <w:kern w:val="0"/>
          <w:sz w:val="30"/>
          <w:szCs w:val="30"/>
        </w:rPr>
        <w:t>万</w:t>
      </w:r>
      <w:r>
        <w:rPr>
          <w:snapToGrid w:val="0"/>
          <w:kern w:val="0"/>
          <w:sz w:val="30"/>
          <w:szCs w:val="30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2015年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default" w:ascii="宋体" w:hAnsi="宋体" w:eastAsia="宋体"/>
          <w:b w:val="0"/>
          <w:i w:val="0"/>
          <w:color w:val="000000"/>
          <w:sz w:val="30"/>
          <w:szCs w:val="30"/>
          <w:u w:val="none"/>
          <w:lang w:eastAsia="zh-CN"/>
        </w:rPr>
        <w:t>707.41</w:t>
      </w:r>
      <w:r>
        <w:rPr>
          <w:rFonts w:hint="eastAsia"/>
          <w:snapToGrid w:val="0"/>
          <w:kern w:val="0"/>
          <w:sz w:val="30"/>
          <w:szCs w:val="30"/>
        </w:rPr>
        <w:t xml:space="preserve"> 万</w:t>
      </w:r>
      <w:r>
        <w:rPr>
          <w:snapToGrid w:val="0"/>
          <w:kern w:val="0"/>
          <w:sz w:val="30"/>
          <w:szCs w:val="30"/>
        </w:rPr>
        <w:t>元，其中</w:t>
      </w:r>
      <w:r>
        <w:rPr>
          <w:rFonts w:hint="eastAsia"/>
          <w:snapToGrid w:val="0"/>
          <w:kern w:val="0"/>
          <w:sz w:val="30"/>
          <w:szCs w:val="30"/>
        </w:rPr>
        <w:t>基本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default" w:ascii="宋体" w:hAnsi="宋体" w:eastAsia="宋体"/>
          <w:b w:val="0"/>
          <w:i w:val="0"/>
          <w:color w:val="000000"/>
          <w:sz w:val="30"/>
          <w:szCs w:val="30"/>
          <w:u w:val="none"/>
          <w:lang w:eastAsia="zh-CN"/>
        </w:rPr>
        <w:t>295.15</w:t>
      </w:r>
      <w:r>
        <w:rPr>
          <w:rFonts w:hint="eastAsia"/>
          <w:snapToGrid w:val="0"/>
          <w:kern w:val="0"/>
          <w:sz w:val="30"/>
          <w:szCs w:val="30"/>
        </w:rPr>
        <w:t xml:space="preserve"> 万</w:t>
      </w:r>
      <w:r>
        <w:rPr>
          <w:snapToGrid w:val="0"/>
          <w:kern w:val="0"/>
          <w:sz w:val="30"/>
          <w:szCs w:val="30"/>
        </w:rPr>
        <w:t>元，项目支出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default" w:ascii="宋体" w:hAnsi="宋体" w:eastAsia="宋体"/>
          <w:b w:val="0"/>
          <w:i w:val="0"/>
          <w:color w:val="000000"/>
          <w:sz w:val="30"/>
          <w:szCs w:val="30"/>
          <w:u w:val="none"/>
          <w:lang w:eastAsia="zh-CN"/>
        </w:rPr>
        <w:t>412.26</w:t>
      </w:r>
      <w:r>
        <w:rPr>
          <w:rFonts w:hint="eastAsia"/>
          <w:snapToGrid w:val="0"/>
          <w:kern w:val="0"/>
          <w:sz w:val="30"/>
          <w:szCs w:val="30"/>
        </w:rPr>
        <w:t xml:space="preserve"> 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2015年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z w:val="30"/>
          <w:szCs w:val="30"/>
        </w:rPr>
        <w:t>1162.53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264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或减收）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843.25</w:t>
      </w:r>
      <w:r>
        <w:rPr>
          <w:rFonts w:hint="eastAsia"/>
          <w:snapToGrid w:val="0"/>
          <w:kern w:val="0"/>
          <w:sz w:val="28"/>
          <w:szCs w:val="28"/>
        </w:rPr>
        <w:t xml:space="preserve">  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704.01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114.36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375.59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541.91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2015年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 xml:space="preserve">公务用车运行维护费 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13.6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 xml:space="preserve">；公务用车购置费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较2014年下降，主要原因是根据中央八项规定，各部门压减公务用车费用所致。</w:t>
      </w:r>
    </w:p>
    <w:p>
      <w:pPr>
        <w:pStyle w:val="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 xml:space="preserve">公务接待费全年出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3.5</w:t>
      </w:r>
      <w:r>
        <w:rPr>
          <w:rFonts w:hint="eastAsia"/>
          <w:snapToGrid w:val="0"/>
          <w:kern w:val="0"/>
          <w:sz w:val="28"/>
          <w:szCs w:val="28"/>
        </w:rPr>
        <w:t>万元，较2014年下降，主要原因是根据中央八项规定，各部门压减公务接待费用所致。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、机关运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经费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支出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情况说明</w:t>
      </w:r>
    </w:p>
    <w:p>
      <w:pPr>
        <w:pStyle w:val="3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2015年本部门机关运行经费支出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19.7</w:t>
      </w:r>
      <w:r>
        <w:rPr>
          <w:rFonts w:hint="eastAsia"/>
          <w:snapToGrid w:val="0"/>
          <w:kern w:val="0"/>
          <w:sz w:val="28"/>
          <w:szCs w:val="28"/>
        </w:rPr>
        <w:t xml:space="preserve"> 万元，比2014年增加（或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9.26</w:t>
      </w:r>
      <w:r>
        <w:rPr>
          <w:rFonts w:hint="eastAsia"/>
          <w:snapToGrid w:val="0"/>
          <w:kern w:val="0"/>
          <w:sz w:val="28"/>
          <w:szCs w:val="28"/>
        </w:rPr>
        <w:t xml:space="preserve"> 万元，增长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88.69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%。主要原因是：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项目增加导致经费支出增加。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、政府采购情况说明</w:t>
      </w:r>
    </w:p>
    <w:p>
      <w:pPr>
        <w:pStyle w:val="3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2015年本部门政府采购支出总额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万元、政府采</w:t>
      </w:r>
      <w:bookmarkStart w:id="0" w:name="_GoBack"/>
      <w:bookmarkEnd w:id="0"/>
      <w:r>
        <w:rPr>
          <w:rFonts w:hint="eastAsia"/>
          <w:snapToGrid w:val="0"/>
          <w:kern w:val="0"/>
          <w:sz w:val="28"/>
          <w:szCs w:val="28"/>
        </w:rPr>
        <w:t>购服务支出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100</Words>
  <Characters>572</Characters>
  <Lines>4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2015-11-03T18:02:00Z</dcterms:created>
  <dc:creator>yuanxiaowei</dc:creator>
  <dcterms:modified xsi:type="dcterms:W3CDTF">2016-09-11T12:01:11Z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