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保定市徐水区物价局部门预算情况说明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2016年我单位部门预算总体安排情况：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1、物价局（行政）：</w:t>
      </w:r>
      <w:bookmarkStart w:id="0" w:name="_GoBack"/>
      <w:bookmarkEnd w:id="0"/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一般公共预算拨款：非限额补助  100.27万元。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预算支出：人员经费  89.74万元。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日常公用经费  10.53万元。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物价局（事业）：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一般公共预算拨款：非限额补助  452.99万元。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预算支出：人员经费  413.45万元。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日常公用经费  32.14万元。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项目支出   7.4万元。</w:t>
      </w:r>
    </w:p>
    <w:p>
      <w:pPr>
        <w:numPr>
          <w:ilvl w:val="0"/>
          <w:numId w:val="1"/>
        </w:numPr>
        <w:ind w:firstLine="64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非税收入计划</w:t>
      </w: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物价局（事业）：罚没收入  24.50万元。</w:t>
      </w: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物价局（事业）：价格鉴定费  26.50万元。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011412">
    <w:nsid w:val="57060194"/>
    <w:multiLevelType w:val="singleLevel"/>
    <w:tmpl w:val="57060194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600114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3A1E"/>
    <w:rsid w:val="5E922E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2016-04-07T06:47:30Z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